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p>
      <w:pPr>
        <w:spacing w:lineRule="auto"/>
      </w:pPr>
      <w:r>
        <w:rPr/>
        <w:t xml:space="preserve"/>
      </w:r>
    </w:p>
    <w:p>
      <w:pPr>
        <w:spacing w:lineRule="auto"/>
      </w:pPr>
      <w:r>
        <w:rPr/>
        <w:t xml:space="preserve">Confidential Private Placement Memorandum · Draft</w:t>
      </w:r>
    </w:p>
    <w:p>
      <w:pPr>
        <w:spacing w:lineRule="auto"/>
      </w:pPr>
      <w:r>
        <w:rPr>
          <w:rFonts w:ascii="&amp;#x27" w:hAnsi="&amp;#x27"/>
          <w:color w:val="8C2633"/>
          <w:sz w:val="12"/>
        </w:rPr>
        <w:t xml:space="preserve">DRAFT LEGEND SUGGESTIONS · COUNSEL CONFIRMATION REQUIRED</w:t>
      </w:r>
    </w:p>
    <w:p>
      <w:pPr>
        <w:spacing w:line="189" w:lineRule="auto"/>
      </w:pPr>
      <w:r>
        <w:rPr>
          <w:rFonts w:ascii="&amp;#x27" w:hAnsi="&amp;#x27"/>
          <w:color w:val="5E6650"/>
          <w:sz w:val="13"/>
        </w:rPr>
        <w:t xml:space="preserve">FEDERAL (U.S. SECURITIES AND EXCHANGE COMMISSION)</w:t>
      </w:r>
      <w:r>
        <w:rPr>
          <w:color w:val="244B37"/>
          <w:sz w:val="14"/>
        </w:rPr>
        <w:t xml:space="preserve">THE SECURITIES DESCRIBED IN THIS MEMORANDUM HAVE NOT BEEN REGISTERED UNDER THE SECURITIES ACT OF 1933, AS AMENDED, OR UNDER APPLICABLE STATE SECURITIES LAWS. THE ISSUER INTENDS TO RELY ON RULE 506(c) OF REGULATION D, SUBJECT TO ITS CONDITIONS AND APPLICABLE STATE LAW.</w:t>
      </w:r>
    </w:p>
    <w:p>
      <w:pPr>
        <w:pStyle w:val="Heading1"/>
        <w:spacing w:lineRule="auto"/>
      </w:pPr>
      <w:r>
        <w:rPr>
          <w:sz w:val="60"/>
        </w:rPr>
        <w:t xml:space="preserve">Series B SPV, AI Infrastructure</w:t>
      </w:r>
    </w:p>
    <w:p>
      <w:pPr>
        <w:spacing w:lineRule="auto"/>
      </w:pPr>
      <w:r>
        <w:rPr>
          <w:rFonts w:ascii="&amp;#x27" w:hAnsi="&amp;#x27"/>
          <w:color w:val="5E6650"/>
          <w:sz w:val="19"/>
        </w:rPr>
        <w:t xml:space="preserve">SAN FRANCISCO BAY AREA, AI INFRASTRUCTURE</w:t>
      </w:r>
    </w:p>
    <w:p>
      <w:pPr>
        <w:spacing w:lineRule="auto"/>
      </w:pPr>
      <w:r>
        <w:rPr>
          <w:color w:val="617064"/>
          <w:sz w:val="18"/>
        </w:rPr>
        <w:t xml:space="preserve">Offering summary</w:t>
      </w:r>
    </w:p>
    <w:p>
      <w:pPr>
        <w:spacing w:lineRule="auto"/>
      </w:pPr>
      <w:r>
        <w:rPr>
          <w:color w:val="617064"/>
          <w:sz w:val="16"/>
        </w:rPr>
        <w:t xml:space="preserve">Target raise</w:t>
      </w:r>
    </w:p>
    <w:p>
      <w:pPr>
        <w:spacing w:lineRule="auto"/>
      </w:pPr>
      <w:r>
        <w:rPr>
          <w:sz w:val="36"/>
        </w:rPr>
        <w:t xml:space="preserve">$4,500,000</w:t>
      </w:r>
    </w:p>
    <w:p>
      <w:pPr>
        <w:spacing w:lineRule="auto"/>
      </w:pPr>
      <w:r>
        <w:rPr>
          <w:color w:val="617064"/>
          <w:sz w:val="16"/>
        </w:rPr>
        <w:t xml:space="preserve">Minimum investment</w:t>
      </w:r>
    </w:p>
    <w:p>
      <w:pPr>
        <w:spacing w:lineRule="auto"/>
      </w:pPr>
      <w:r>
        <w:rPr>
          <w:sz w:val="36"/>
        </w:rPr>
        <w:t xml:space="preserve">$25,000</w:t>
      </w:r>
    </w:p>
    <w:p>
      <w:pPr>
        <w:spacing w:after="80" w:lineRule="auto"/>
      </w:pPr>
      <w:r>
        <w:rPr>
          <w:rFonts w:ascii="&amp;#x27" w:hAnsi="&amp;#x27"/>
          <w:color w:val="5E6650"/>
          <w:sz w:val="17"/>
        </w:rPr>
        <w:t xml:space="preserve">ISSUED BY</w:t>
      </w:r>
    </w:p>
    <w:p>
      <w:pPr>
        <w:spacing w:after="40" w:lineRule="auto"/>
      </w:pPr>
      <w:r>
        <w:rPr>
          <w:color w:val="111911"/>
          <w:sz w:val="22"/>
        </w:rPr>
        <w:t xml:space="preserve">NeuralStack Series B Investment SPV, LLC</w:t>
      </w:r>
    </w:p>
    <w:p>
      <w:pPr>
        <w:spacing w:after="40" w:lineRule="auto"/>
      </w:pPr>
      <w:r>
        <w:rPr>
          <w:rFonts w:ascii="&amp;#x27" w:hAnsi="&amp;#x27"/>
          <w:color w:val="5E6650"/>
          <w:sz w:val="17"/>
        </w:rPr>
        <w:t xml:space="preserve">EXEMPTION</w:t>
      </w:r>
    </w:p>
    <w:p>
      <w:pPr>
        <w:spacing w:after="40" w:lineRule="auto"/>
      </w:pPr>
      <w:r>
        <w:rPr>
          <w:color w:val="111911"/>
          <w:sz w:val="20"/>
        </w:rPr>
        <w:t xml:space="preserve">Regulation D, Rule 506(c)</w:t>
      </w:r>
    </w:p>
    <w:p>
      <w:pPr>
        <w:spacing w:line="270" w:lineRule="auto"/>
      </w:pPr>
      <w:r>
        <w:rPr>
          <w:color w:val="5E6650"/>
          <w:sz w:val="18"/>
        </w:rPr>
        <w:t xml:space="preserve">This memorandum is confidential and is intended solely for the use of the recipient. It does not constitute an offer to sell or the solicitation of an offer to buy securities. Offers will be made only to accredited investors pursuant to definitive subscription agreements.</w:t>
      </w:r>
    </w:p>
    <w:p>
      <w:pPr>
        <w:spacing w:lineRule="auto"/>
      </w:pPr>
      <w:r>
        <w:rPr>
          <w:rFonts w:ascii="&amp;#x27" w:hAnsi="&amp;#x27"/>
          <w:color w:val="B4223C"/>
          <w:sz w:val="16"/>
        </w:rPr>
        <w:t xml:space="preserve">CONFIDENTIAL</w:t>
      </w:r>
    </w:p>
    <w:p>
      <w:r>
        <w:br w:type="page"/>
      </w:r>
    </w:p>
    <w:p>
      <w:pPr>
        <w:pStyle w:val="Heading2"/>
        <w:spacing w:lineRule="auto"/>
      </w:pPr>
      <w:r>
        <w:rPr/>
        <w:t xml:space="preserve">Section I · Offering overview</w:t>
      </w:r>
    </w:p>
    <w:p>
      <w:pPr>
        <w:spacing w:lineRule="auto"/>
      </w:pPr>
      <w:r>
        <w:rPr/>
        <w:t xml:space="preserve">Convergence Lead Capital is offering accredited investors the opportunity to participate in the Series B preferred financing of NeuralStack Inc., a San Francisco-based AI inference infrastructure startup. The SPV will take a direct position in the </w:t>
      </w:r>
    </w:p>
    <w:p>
      <w:pPr>
        <w:spacing w:lineRule="auto"/>
      </w:pPr>
      <w:r>
        <w:rPr/>
        <w:t xml:space="preserve">$85M</w:t>
      </w:r>
    </w:p>
    <w:p>
      <w:pPr>
        <w:spacing w:lineRule="auto"/>
      </w:pPr>
      <w:r>
        <w:rPr/>
        <w:t xml:space="preserve"> Series B round at a </w:t>
      </w:r>
    </w:p>
    <w:p>
      <w:pPr>
        <w:spacing w:lineRule="auto"/>
      </w:pPr>
      <w:r>
        <w:rPr/>
        <w:t xml:space="preserve">$340M</w:t>
      </w:r>
    </w:p>
    <w:p>
      <w:pPr>
        <w:spacing w:lineRule="auto"/>
      </w:pPr>
      <w:r>
        <w:rPr/>
        <w:t xml:space="preserve"> post-money valuation, alongside the lead institutional investor and two existing seed/Series A venture funds. NeuralStack has grown from </w:t>
      </w:r>
    </w:p>
    <w:p>
      <w:pPr>
        <w:spacing w:lineRule="auto"/>
      </w:pPr>
      <w:r>
        <w:rPr/>
        <w:t xml:space="preserve">$1.2M</w:t>
      </w:r>
    </w:p>
    <w:p>
      <w:pPr>
        <w:spacing w:lineRule="auto"/>
      </w:pPr>
      <w:r>
        <w:rPr/>
        <w:t xml:space="preserve"> ARR at the start of 2025 to </w:t>
      </w:r>
    </w:p>
    <w:p>
      <w:pPr>
        <w:spacing w:lineRule="auto"/>
      </w:pPr>
      <w:r>
        <w:rPr/>
        <w:t xml:space="preserve">$18M</w:t>
      </w:r>
    </w:p>
    <w:p>
      <w:pPr>
        <w:spacing w:lineRule="auto"/>
      </w:pPr>
      <w:r>
        <w:rPr/>
        <w:t xml:space="preserve"> ARR at Series B close, driven by paid adoption from mid-market AI application developers building production-grade inference workloads. The company's core technology reduces per-inference latency by 3–5x versus leading GPU-cloud alternatives at comparable cost. Customer cohort retention is greater than 140% net revenue retention at 12 months, and gross margins exceed 68%. The SPV raises </w:t>
      </w:r>
    </w:p>
    <w:p>
      <w:pPr>
        <w:spacing w:lineRule="auto"/>
      </w:pPr>
      <w:r>
        <w:rPr/>
        <w:t xml:space="preserve">$4.5M</w:t>
      </w:r>
    </w:p>
    <w:p>
      <w:pPr>
        <w:spacing w:lineRule="auto"/>
      </w:pPr>
      <w:r>
        <w:rPr/>
        <w:t xml:space="preserve"> to subscribe for Series B preferred shares on identical economic terms as the lead investor (1x non-participating preferred, broad-based weighted-average anti-dilution, customary minority protective provisions). Lead sponsor receives 10% carried interest over a 1x hurdle, with no management fee. Target hold of 7–10 years through expected growth-stage financings and exit via IPO or strategic acquisition.</w:t>
      </w:r>
    </w:p>
    <w:p>
      <w:r>
        <w:br w:type="page"/>
      </w:r>
    </w:p>
    <w:p>
      <w:pPr>
        <w:spacing w:lineRule="auto"/>
      </w:pPr>
      <w:r>
        <w:rPr/>
        <w:t xml:space="preserve">Confidential private placement memorandum, Draft</w:t>
      </w:r>
    </w:p>
    <w:p>
      <w:pPr>
        <w:pStyle w:val="Heading1"/>
        <w:spacing w:lineRule="auto"/>
      </w:pPr>
      <w:r>
        <w:rPr>
          <w:sz w:val="64"/>
        </w:rPr>
        <w:t xml:space="preserve">NeuralStack Series B Investment SPV (Fictional Sample)</w:t>
      </w:r>
    </w:p>
    <w:p>
      <w:pPr>
        <w:spacing w:lineRule="auto"/>
      </w:pPr>
      <w:r>
        <w:rPr>
          <w:rFonts w:ascii="&amp;#x27" w:hAnsi="&amp;#x27"/>
          <w:color w:val="244B37"/>
          <w:sz w:val="26"/>
        </w:rPr>
        <w:t xml:space="preserve">Series B SPV, AI Infrastructure</w:t>
      </w:r>
    </w:p>
    <w:p>
      <w:pPr>
        <w:spacing w:lineRule="auto"/>
      </w:pPr>
      <w:r>
        <w:rPr>
          <w:sz w:val="20"/>
        </w:rPr>
        <w:t xml:space="preserve">Issued by </w:t>
      </w:r>
      <w:r>
        <w:rPr>
          <w:b/>
          <w:color w:val="111911"/>
          <w:sz w:val="20"/>
        </w:rPr>
        <w:t xml:space="preserve">NeuralStack Series B Investment SPV, LLC</w:t>
      </w:r>
    </w:p>
    <w:p>
      <w:pPr>
        <w:spacing w:lineRule="auto"/>
      </w:pPr>
      <w:r>
        <w:rPr>
          <w:rFonts w:ascii="&amp;#x27" w:hAnsi="&amp;#x27"/>
          <w:color w:val="5E6650"/>
          <w:sz w:val="17"/>
        </w:rPr>
        <w:t xml:space="preserve">REGULATION D, RULE 506(C)</w:t>
      </w:r>
    </w:p>
    <w:p>
      <w:pPr>
        <w:spacing w:lineRule="auto"/>
      </w:pPr>
      <w:r>
        <w:rPr/>
        <w:t xml:space="preserve">Notice of Confidentiality</w:t>
      </w:r>
    </w:p>
    <w:p>
      <w:pPr>
        <w:spacing w:line="368" w:lineRule="auto"/>
      </w:pPr>
      <w:r>
        <w:rPr>
          <w:rFonts w:ascii="&amp;#x27" w:hAnsi="&amp;#x27"/>
          <w:color w:val="111911"/>
          <w:sz w:val="21"/>
        </w:rPr>
        <w:t xml:space="preserve">This memorandum is confidential and is intended solely for the use of the recipient identified on the cover page. Any reproduction or distribution of this memorandum, in whole or in part, or disclosure of its contents without the Sponsor’s prior written consent is prohibited. This memorandum does not itself constitute an offer to sell or a solicitation of an offer to buy securities. Any offer will be made only to qualifying members pursuant to definitive subscription agreements and the framework cited above.</w:t>
      </w:r>
    </w:p>
    <w:p>
      <w:pPr>
        <w:spacing w:lineRule="auto"/>
      </w:pPr>
      <w:r>
        <w:rPr/>
        <w:t xml:space="preserve">Important notices</w:t>
      </w:r>
    </w:p>
    <w:p>
      <w:pPr>
        <w:pStyle w:val="Heading2"/>
        <w:spacing w:lineRule="auto"/>
      </w:pPr>
      <w:r>
        <w:rPr>
          <w:sz w:val="40"/>
        </w:rPr>
        <w:t xml:space="preserve">Notices to Prospective Investors</w:t>
      </w:r>
    </w:p>
    <w:p>
      <w:pPr>
        <w:spacing w:after="80" w:lineRule="auto"/>
      </w:pPr>
      <w:r>
        <w:rPr>
          <w:color w:val="111911"/>
          <w:sz w:val="18"/>
        </w:rPr>
        <w:t xml:space="preserve">NO REGISTRATION UNDER FEDERAL OR STATE SECURITIES LAWS</w:t>
      </w:r>
    </w:p>
    <w:p>
      <w:pPr>
        <w:spacing w:lineRule="auto"/>
      </w:pPr>
      <w:r>
        <w:rPr/>
        <w:t xml:space="preserve">The securities described in this memorandum (the “Securities”) have not been registered under the Securities Act of 1933, as amended (the “Securities Act”). The Securities are intended to be offered and sold in reliance on Rule 506(c) of Regulation D and remain subject to applicable state securities laws. Qualified securities counsel must confirm the pathway and final disclosure before any offer or sale.</w:t>
      </w:r>
    </w:p>
    <w:p>
      <w:pPr>
        <w:spacing w:after="80" w:lineRule="auto"/>
      </w:pPr>
      <w:r>
        <w:rPr>
          <w:color w:val="111911"/>
          <w:sz w:val="18"/>
        </w:rPr>
        <w:t xml:space="preserve">NO GOVERNMENT APPROVAL</w:t>
      </w:r>
    </w:p>
    <w:p>
      <w:pPr>
        <w:spacing w:lineRule="auto"/>
      </w:pPr>
      <w:r>
        <w:rPr/>
        <w:t xml:space="preserve">Neither the Securities and Exchange Commission nor any state securities commission or other regulatory authority has approved or disapproved the Securities, passed upon the merits of or given its approval to the terms of this offering, or passed upon the accuracy or adequacy of this memorandum. Any representation to the contrary is a criminal offense.</w:t>
      </w:r>
    </w:p>
    <w:p>
      <w:pPr>
        <w:spacing w:after="80" w:lineRule="auto"/>
      </w:pPr>
      <w:r>
        <w:rPr>
          <w:color w:val="111911"/>
          <w:sz w:val="18"/>
        </w:rPr>
        <w:t xml:space="preserve">RESTRICTIONS ON TRANSFER &amp; ILLIQUIDITY</w:t>
      </w:r>
    </w:p>
    <w:p>
      <w:pPr>
        <w:spacing w:lineRule="auto"/>
      </w:pPr>
      <w:r>
        <w:rPr/>
        <w:t xml:space="preserve">The Securities are subject to substantial restrictions on transfer and resale and may not be transferred or resold except pursuant to registration under the Securities Act and applicable state laws or in transactions exempt from such registration. No public market exists for the Securities, and none is expected to develop. Investors should be prepared to bear the economic risk of an investment in the Securities for an indefinite period and to suffer a total loss of their investment.</w:t>
      </w:r>
    </w:p>
    <w:p>
      <w:pPr>
        <w:spacing w:after="80" w:lineRule="auto"/>
      </w:pPr>
      <w:r>
        <w:rPr>
          <w:color w:val="111911"/>
          <w:sz w:val="18"/>
        </w:rPr>
        <w:t xml:space="preserve">FORWARD-LOOKING STATEMENTS</w:t>
      </w:r>
    </w:p>
    <w:p>
      <w:pPr>
        <w:spacing w:lineRule="auto"/>
      </w:pPr>
      <w:r>
        <w:rPr/>
        <w:t xml:space="preserve">This memorandum contains forward-looking statements, including projections of returns, expected distributions, target hold periods, and anticipated market conditions. Forward-looking statements are inherently subject to known and unknown risks, uncertainties, assumptions, and changes in circumstances that could cause actual results to differ materially from those expressed or implied. No assurance can be given that any projected result will be achieved. Investors should not place undue reliance on forward-looking statements.</w:t>
      </w:r>
    </w:p>
    <w:p>
      <w:pPr>
        <w:spacing w:after="80" w:lineRule="auto"/>
      </w:pPr>
      <w:r>
        <w:rPr>
          <w:color w:val="111911"/>
          <w:sz w:val="18"/>
        </w:rPr>
        <w:t xml:space="preserve">INVESTOR QUALIFICATION</w:t>
      </w:r>
    </w:p>
    <w:p>
      <w:pPr>
        <w:spacing w:lineRule="auto"/>
      </w:pPr>
      <w:r>
        <w:rPr/>
        <w:t xml:space="preserve">This offering is being made only to persons who qualify as "accredited investors" as defined in Rule 501(a) of Regulation D. The Sponsor will take reasonable steps to verify that each investor is an accredited investor prior to accepting any subscription.</w:t>
      </w:r>
    </w:p>
    <w:p>
      <w:pPr>
        <w:spacing w:after="80" w:lineRule="auto"/>
      </w:pPr>
      <w:r>
        <w:rPr>
          <w:color w:val="111911"/>
          <w:sz w:val="18"/>
        </w:rPr>
        <w:t xml:space="preserve">RELIANCE ON INVESTOR’S OWN EVALUATION</w:t>
      </w:r>
    </w:p>
    <w:p>
      <w:pPr>
        <w:spacing w:lineRule="auto"/>
      </w:pPr>
      <w:r>
        <w:rPr/>
        <w:t xml:space="preserve">This memorandum does not constitute legal, tax, accounting, or investment advice. Each prospective investor is urged to consult with their own legal, tax, and financial advisors before investing. The Sponsor, its affiliates, and their respective officers, directors, and representatives are not providing legal, tax, or investment advice to any prospective investor.</w:t>
      </w:r>
    </w:p>
    <w:p>
      <w:pPr>
        <w:spacing w:after="80" w:lineRule="auto"/>
      </w:pPr>
      <w:r>
        <w:rPr>
          <w:color w:val="111911"/>
          <w:sz w:val="18"/>
        </w:rPr>
        <w:t xml:space="preserve">NO REPRESENTATIONS BEYOND THIS MEMORANDUM</w:t>
      </w:r>
    </w:p>
    <w:p>
      <w:pPr>
        <w:spacing w:lineRule="auto"/>
      </w:pPr>
      <w:r>
        <w:rPr/>
        <w:t xml:space="preserve">No person has been authorized to give any information or to make any representations in connection with this offering other than those contained in this memorandum, and any information or representation not contained herein must not be relied upon as having been authorized by the Sponsor. Delivery of this memorandum does not imply that information contained herein is correct as of any date subsequent to the date hereof.</w:t>
      </w:r>
    </w:p>
    <w:p>
      <w:pPr>
        <w:spacing w:lineRule="auto"/>
      </w:pPr>
      <w:r>
        <w:rPr/>
        <w:t xml:space="preserve">Contents</w:t>
      </w:r>
    </w:p>
    <w:p>
      <w:pPr>
        <w:pStyle w:val="Heading2"/>
        <w:spacing w:lineRule="auto"/>
      </w:pPr>
      <w:r>
        <w:rPr>
          <w:sz w:val="48"/>
        </w:rPr>
        <w:t xml:space="preserve">Table of contents</w:t>
      </w:r>
    </w:p>
    <w:tbl>
      <w:tblPr>
        <w:tblBorders>
          <w:top w:val="nil" w:sz="1" w:space="0" w:color="B9C3CF"/>
          <w:bottom w:val="nil" w:sz="1" w:space="0" w:color="B9C3CF"/>
          <w:left w:val="nil" w:sz="1" w:space="0" w:color="B9C3CF"/>
          <w:right w:val="nil" w:sz="1" w:space="0" w:color="B9C3CF"/>
          <w:insideV w:val="single" w:sz="1" w:space="0" w:color="B9C3CF"/>
          <w:insideH w:val="single" w:sz="1" w:space="0" w:color="B9C3CF"/>
        </w:tblBorders>
        <w:tblW w:type="dxa" w:w="9360"/>
        <w:tblCellMar>
          <w:top w:type="dxa" w:w="80"/>
          <w:bottom w:type="dxa" w:w="80"/>
          <w:left w:type="dxa" w:w="160"/>
          <w:right w:type="dxa" w:w="160"/>
        </w:tblCellMar>
        <w:jc w:val="center"/>
      </w:tblPr>
      <w:tblGrid>
        <w:gridCol w:w="4680"/>
        <w:gridCol w:w="4680"/>
      </w:tblGrid>
      <w:tr>
        <w:trPr>
          <w:cantSplit/>
        </w:trPr>
        <w:tc>
          <w:tcPr>
            <w:tcW w:w="0" w:type="dxa"/>
            <w:vAlign w:val="top"/>
          </w:tcPr>
          <w:p>
            <w:pPr>
              <w:spacing w:lineRule="auto"/>
            </w:pPr>
            <w:r>
              <w:rPr>
                <w:color w:val="5b6472"/>
              </w:rPr>
              <w:t xml:space="preserve">Section I</w:t>
            </w:r>
          </w:p>
        </w:tc>
        <w:tc>
          <w:tcPr>
            <w:tcW w:w="0" w:type="dxa"/>
            <w:vAlign w:val="top"/>
          </w:tcPr>
          <w:p>
            <w:pPr>
              <w:spacing w:lineRule="auto"/>
            </w:pPr>
            <w:r>
              <w:rPr/>
              <w:t xml:space="preserve">Offering overview</w:t>
            </w:r>
          </w:p>
        </w:tc>
      </w:tr>
      <w:tr>
        <w:trPr>
          <w:cantSplit/>
        </w:trPr>
        <w:tc>
          <w:tcPr>
            <w:tcW w:w="0" w:type="dxa"/>
            <w:vAlign w:val="top"/>
          </w:tcPr>
          <w:p>
            <w:pPr>
              <w:spacing w:lineRule="auto"/>
            </w:pPr>
            <w:r>
              <w:rPr>
                <w:color w:val="5b6472"/>
              </w:rPr>
              <w:t xml:space="preserve">Section II</w:t>
            </w:r>
          </w:p>
        </w:tc>
        <w:tc>
          <w:tcPr>
            <w:tcW w:w="0" w:type="dxa"/>
            <w:vAlign w:val="top"/>
          </w:tcPr>
          <w:p>
            <w:pPr>
              <w:spacing w:lineRule="auto"/>
            </w:pPr>
            <w:r>
              <w:rPr/>
              <w:t xml:space="preserve">Executive summary</w:t>
            </w:r>
          </w:p>
        </w:tc>
      </w:tr>
      <w:tr>
        <w:trPr>
          <w:cantSplit/>
        </w:trPr>
        <w:tc>
          <w:tcPr>
            <w:tcW w:w="0" w:type="dxa"/>
            <w:vAlign w:val="top"/>
          </w:tcPr>
          <w:p>
            <w:pPr>
              <w:spacing w:lineRule="auto"/>
            </w:pPr>
            <w:r>
              <w:rPr>
                <w:color w:val="5b6472"/>
              </w:rPr>
              <w:t xml:space="preserve">Section III</w:t>
            </w:r>
          </w:p>
        </w:tc>
        <w:tc>
          <w:tcPr>
            <w:tcW w:w="0" w:type="dxa"/>
            <w:vAlign w:val="top"/>
          </w:tcPr>
          <w:p>
            <w:pPr>
              <w:spacing w:lineRule="auto"/>
            </w:pPr>
            <w:r>
              <w:rPr/>
              <w:t xml:space="preserve">Sponsor &amp; management</w:t>
            </w:r>
          </w:p>
        </w:tc>
      </w:tr>
      <w:tr>
        <w:trPr>
          <w:cantSplit/>
        </w:trPr>
        <w:tc>
          <w:tcPr>
            <w:tcW w:w="0" w:type="dxa"/>
            <w:vAlign w:val="top"/>
          </w:tcPr>
          <w:p>
            <w:pPr>
              <w:spacing w:lineRule="auto"/>
            </w:pPr>
            <w:r>
              <w:rPr>
                <w:color w:val="5b6472"/>
              </w:rPr>
              <w:t xml:space="preserve">Section IV</w:t>
            </w:r>
          </w:p>
        </w:tc>
        <w:tc>
          <w:tcPr>
            <w:tcW w:w="0" w:type="dxa"/>
            <w:vAlign w:val="top"/>
          </w:tcPr>
          <w:p>
            <w:pPr>
              <w:spacing w:lineRule="auto"/>
            </w:pPr>
            <w:r>
              <w:rPr/>
              <w:t xml:space="preserve">The offering</w:t>
            </w:r>
          </w:p>
        </w:tc>
      </w:tr>
      <w:tr>
        <w:trPr>
          <w:cantSplit/>
        </w:trPr>
        <w:tc>
          <w:tcPr>
            <w:tcW w:w="0" w:type="dxa"/>
            <w:vAlign w:val="top"/>
          </w:tcPr>
          <w:p>
            <w:pPr>
              <w:spacing w:lineRule="auto"/>
            </w:pPr>
            <w:r>
              <w:rPr>
                <w:color w:val="5b6472"/>
              </w:rPr>
              <w:t xml:space="preserve">Section V</w:t>
            </w:r>
          </w:p>
        </w:tc>
        <w:tc>
          <w:tcPr>
            <w:tcW w:w="0" w:type="dxa"/>
            <w:vAlign w:val="top"/>
          </w:tcPr>
          <w:p>
            <w:pPr>
              <w:spacing w:lineRule="auto"/>
            </w:pPr>
            <w:r>
              <w:rPr/>
              <w:t xml:space="preserve">Use of proceeds</w:t>
            </w:r>
          </w:p>
        </w:tc>
      </w:tr>
      <w:tr>
        <w:trPr>
          <w:cantSplit/>
        </w:trPr>
        <w:tc>
          <w:tcPr>
            <w:tcW w:w="0" w:type="dxa"/>
            <w:vAlign w:val="top"/>
          </w:tcPr>
          <w:p>
            <w:pPr>
              <w:spacing w:lineRule="auto"/>
            </w:pPr>
            <w:r>
              <w:rPr>
                <w:color w:val="5b6472"/>
              </w:rPr>
              <w:t xml:space="preserve">Section VI</w:t>
            </w:r>
          </w:p>
        </w:tc>
        <w:tc>
          <w:tcPr>
            <w:tcW w:w="0" w:type="dxa"/>
            <w:vAlign w:val="top"/>
          </w:tcPr>
          <w:p>
            <w:pPr>
              <w:spacing w:lineRule="auto"/>
            </w:pPr>
            <w:r>
              <w:rPr/>
              <w:t xml:space="preserve">Portfolio company</w:t>
            </w:r>
          </w:p>
        </w:tc>
      </w:tr>
      <w:tr>
        <w:trPr>
          <w:cantSplit/>
        </w:trPr>
        <w:tc>
          <w:tcPr>
            <w:tcW w:w="0" w:type="dxa"/>
            <w:vAlign w:val="top"/>
          </w:tcPr>
          <w:p>
            <w:pPr>
              <w:spacing w:lineRule="auto"/>
            </w:pPr>
            <w:r>
              <w:rPr>
                <w:color w:val="5b6472"/>
              </w:rPr>
              <w:t xml:space="preserve">Section VII</w:t>
            </w:r>
          </w:p>
        </w:tc>
        <w:tc>
          <w:tcPr>
            <w:tcW w:w="0" w:type="dxa"/>
            <w:vAlign w:val="top"/>
          </w:tcPr>
          <w:p>
            <w:pPr>
              <w:spacing w:lineRule="auto"/>
            </w:pPr>
            <w:r>
              <w:rPr/>
              <w:t xml:space="preserve">Term sheet</w:t>
            </w:r>
          </w:p>
        </w:tc>
      </w:tr>
      <w:tr>
        <w:trPr>
          <w:cantSplit/>
        </w:trPr>
        <w:tc>
          <w:tcPr>
            <w:tcW w:w="0" w:type="dxa"/>
            <w:vAlign w:val="top"/>
          </w:tcPr>
          <w:p>
            <w:pPr>
              <w:spacing w:lineRule="auto"/>
            </w:pPr>
            <w:r>
              <w:rPr>
                <w:color w:val="5b6472"/>
              </w:rPr>
              <w:t xml:space="preserve">Section VIII</w:t>
            </w:r>
          </w:p>
        </w:tc>
        <w:tc>
          <w:tcPr>
            <w:tcW w:w="0" w:type="dxa"/>
            <w:vAlign w:val="top"/>
          </w:tcPr>
          <w:p>
            <w:pPr>
              <w:spacing w:lineRule="auto"/>
            </w:pPr>
            <w:r>
              <w:rPr/>
              <w:t xml:space="preserve">Tax considerations</w:t>
            </w:r>
          </w:p>
        </w:tc>
      </w:tr>
      <w:tr>
        <w:trPr>
          <w:cantSplit/>
        </w:trPr>
        <w:tc>
          <w:tcPr>
            <w:tcW w:w="0" w:type="dxa"/>
            <w:vAlign w:val="top"/>
          </w:tcPr>
          <w:p>
            <w:pPr>
              <w:spacing w:lineRule="auto"/>
            </w:pPr>
            <w:r>
              <w:rPr>
                <w:color w:val="5b6472"/>
              </w:rPr>
              <w:t xml:space="preserve">Section IX</w:t>
            </w:r>
          </w:p>
        </w:tc>
        <w:tc>
          <w:tcPr>
            <w:tcW w:w="0" w:type="dxa"/>
            <w:vAlign w:val="top"/>
          </w:tcPr>
          <w:p>
            <w:pPr>
              <w:spacing w:lineRule="auto"/>
            </w:pPr>
            <w:r>
              <w:rPr/>
              <w:t xml:space="preserve">Risk factors</w:t>
            </w:r>
          </w:p>
        </w:tc>
      </w:tr>
      <w:tr>
        <w:trPr>
          <w:cantSplit/>
        </w:trPr>
        <w:tc>
          <w:tcPr>
            <w:tcW w:w="0" w:type="dxa"/>
            <w:vAlign w:val="top"/>
          </w:tcPr>
          <w:p>
            <w:pPr>
              <w:spacing w:lineRule="auto"/>
            </w:pPr>
            <w:r>
              <w:rPr>
                <w:color w:val="5b6472"/>
              </w:rPr>
              <w:t xml:space="preserve">Section X</w:t>
            </w:r>
          </w:p>
        </w:tc>
        <w:tc>
          <w:tcPr>
            <w:tcW w:w="0" w:type="dxa"/>
            <w:vAlign w:val="top"/>
          </w:tcPr>
          <w:p>
            <w:pPr>
              <w:spacing w:lineRule="auto"/>
            </w:pPr>
            <w:r>
              <w:rPr/>
              <w:t xml:space="preserve">Notices to Residents</w:t>
            </w:r>
          </w:p>
        </w:tc>
      </w:tr>
      <w:tr>
        <w:trPr>
          <w:cantSplit/>
        </w:trPr>
        <w:tc>
          <w:tcPr>
            <w:tcW w:w="0" w:type="dxa"/>
            <w:vAlign w:val="top"/>
          </w:tcPr>
          <w:p>
            <w:pPr>
              <w:spacing w:lineRule="auto"/>
            </w:pPr>
            <w:r>
              <w:rPr>
                <w:color w:val="5b6472"/>
              </w:rPr>
              <w:t xml:space="preserve">Section XI</w:t>
            </w:r>
          </w:p>
        </w:tc>
        <w:tc>
          <w:tcPr>
            <w:tcW w:w="0" w:type="dxa"/>
            <w:vAlign w:val="top"/>
          </w:tcPr>
          <w:p>
            <w:pPr>
              <w:spacing w:lineRule="auto"/>
            </w:pPr>
            <w:r>
              <w:rPr/>
              <w:t xml:space="preserve">Subscription process</w:t>
            </w:r>
          </w:p>
        </w:tc>
      </w:tr>
      <w:tr>
        <w:trPr>
          <w:cantSplit/>
        </w:trPr>
        <w:tc>
          <w:tcPr>
            <w:tcW w:w="0" w:type="dxa"/>
            <w:vAlign w:val="top"/>
          </w:tcPr>
          <w:p>
            <w:pPr>
              <w:spacing w:lineRule="auto"/>
            </w:pPr>
            <w:r>
              <w:rPr>
                <w:color w:val="5b6472"/>
              </w:rPr>
              <w:t xml:space="preserve">Section XII</w:t>
            </w:r>
          </w:p>
        </w:tc>
        <w:tc>
          <w:tcPr>
            <w:tcW w:w="0" w:type="dxa"/>
            <w:vAlign w:val="top"/>
          </w:tcPr>
          <w:p>
            <w:pPr>
              <w:spacing w:lineRule="auto"/>
            </w:pPr>
            <w:r>
              <w:rPr/>
              <w:t xml:space="preserve">Glossary of defined terms</w:t>
            </w:r>
          </w:p>
        </w:tc>
      </w:tr>
      <w:tr>
        <w:trPr>
          <w:cantSplit/>
        </w:trPr>
        <w:tc>
          <w:tcPr>
            <w:tcW w:w="0" w:type="dxa"/>
            <w:vAlign w:val="top"/>
          </w:tcPr>
          <w:p>
            <w:pPr>
              <w:spacing w:lineRule="auto"/>
            </w:pPr>
            <w:r>
              <w:rPr>
                <w:color w:val="5b6472"/>
              </w:rPr>
              <w:t xml:space="preserve">Section XIII</w:t>
            </w:r>
          </w:p>
        </w:tc>
        <w:tc>
          <w:tcPr>
            <w:tcW w:w="0" w:type="dxa"/>
            <w:vAlign w:val="top"/>
          </w:tcPr>
          <w:p>
            <w:pPr>
              <w:spacing w:lineRule="auto"/>
            </w:pPr>
            <w:r>
              <w:rPr/>
              <w:t xml:space="preserve">Exhibits</w:t>
            </w:r>
          </w:p>
        </w:tc>
      </w:tr>
    </w:tbl>
    <w:p>
      <w:pPr>
        <w:spacing w:lineRule="auto"/>
      </w:pPr>
      <w:r>
        <w:rPr/>
      </w:r>
    </w:p>
    <w:p>
      <w:pPr>
        <w:pStyle w:val="Heading2"/>
        <w:spacing w:lineRule="auto"/>
      </w:pPr>
      <w:r>
        <w:rPr/>
        <w:t xml:space="preserve">Section II · Executive summary</w:t>
      </w:r>
    </w:p>
    <w:p>
      <w:pPr>
        <w:spacing w:lineRule="auto"/>
      </w:pPr>
      <w:r>
        <w:rPr/>
        <w:t xml:space="preserve">Convergence Lead Capital is offering accredited investors the opportunity to participate in the Series B preferred financing of NeuralStack Inc., a San Francisco-based AI inference infrastructure startup. The SPV will take a direct position in the </w:t>
      </w:r>
      <w:r>
        <w:rPr/>
        <w:t xml:space="preserve">$85M</w:t>
      </w:r>
      <w:r>
        <w:rPr/>
        <w:t xml:space="preserve"> Series B round at a </w:t>
      </w:r>
      <w:r>
        <w:rPr/>
        <w:t xml:space="preserve">$340M</w:t>
      </w:r>
      <w:r>
        <w:rPr/>
        <w:t xml:space="preserve"> post-money valuation, alongside the lead institutional investor and two existing seed/Series A venture funds.</w:t>
      </w:r>
    </w:p>
    <w:p>
      <w:pPr>
        <w:spacing w:lineRule="auto"/>
      </w:pPr>
      <w:r>
        <w:rPr/>
        <w:t xml:space="preserve">NeuralStack has grown from </w:t>
      </w:r>
      <w:r>
        <w:rPr/>
        <w:t xml:space="preserve">$1.2M</w:t>
      </w:r>
      <w:r>
        <w:rPr/>
        <w:t xml:space="preserve"> ARR at the start of 2025 to </w:t>
      </w:r>
      <w:r>
        <w:rPr/>
        <w:t xml:space="preserve">$18M</w:t>
      </w:r>
      <w:r>
        <w:rPr/>
        <w:t xml:space="preserve"> ARR at Series B close, driven by paid adoption from mid-market AI application developers building production-grade inference workloads. The company's core technology reduces per-inference latency by 3–5x versus leading GPU-cloud alternatives at comparable cost. Customer cohort retention is greater than 140% net revenue retention at 12 months, and gross margins exceed 68%.</w:t>
      </w:r>
    </w:p>
    <w:p>
      <w:pPr>
        <w:spacing w:lineRule="auto"/>
      </w:pPr>
      <w:r>
        <w:rPr/>
        <w:t xml:space="preserve">The SPV raises </w:t>
      </w:r>
      <w:r>
        <w:rPr/>
        <w:t xml:space="preserve">$4.5M</w:t>
      </w:r>
      <w:r>
        <w:rPr/>
        <w:t xml:space="preserve"> to subscribe for Series B preferred shares on identical economic terms as the lead investor (1x non-participating preferred, broad-based weighted-average anti-dilution, customary minority protective provisions). Lead sponsor receives 10% carried interest over a 1x hurdle, with no management fee. Target hold of 7–10 years through expected growth-stage financings and exit via IPO or strategic acquisition.</w:t>
      </w:r>
    </w:p>
    <w:tbl>
      <w:tblPr>
        <w:tblBorders>
          <w:top w:val="nil" w:sz="1" w:space="0" w:color="B9C3CF"/>
          <w:bottom w:val="nil" w:sz="1" w:space="0" w:color="B9C3CF"/>
          <w:left w:val="nil" w:sz="1" w:space="0" w:color="B9C3CF"/>
          <w:right w:val="nil" w:sz="1" w:space="0" w:color="B9C3CF"/>
          <w:insideV w:val="single" w:sz="1" w:space="0" w:color="B9C3CF"/>
          <w:insideH w:val="single" w:sz="1" w:space="0" w:color="B9C3CF"/>
        </w:tblBorders>
        <w:tblW w:type="dxa" w:w="9360"/>
        <w:tblCellMar>
          <w:top w:type="dxa" w:w="80"/>
          <w:bottom w:type="dxa" w:w="80"/>
          <w:left w:type="dxa" w:w="160"/>
          <w:right w:type="dxa" w:w="160"/>
        </w:tblCellMar>
        <w:jc w:val="center"/>
      </w:tblPr>
      <w:tblGrid>
        <w:gridCol w:w="4680"/>
        <w:gridCol w:w="4680"/>
      </w:tblGrid>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color w:val="19382b"/>
                <w:sz w:val="16"/>
              </w:rPr>
              <w:t xml:space="preserve">Target raise</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$4,500,000</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color w:val="19382b"/>
                <w:sz w:val="16"/>
              </w:rPr>
              <w:t xml:space="preserve">Minimum investment</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$25,000</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color w:val="19382b"/>
                <w:sz w:val="16"/>
              </w:rPr>
              <w:t xml:space="preserve">Security offered</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Class A Membership Units (SPV)</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color w:val="19382b"/>
                <w:sz w:val="16"/>
              </w:rPr>
              <w:t xml:space="preserve">Issuing entity</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Limited Liability Company</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color w:val="19382b"/>
                <w:sz w:val="16"/>
              </w:rPr>
              <w:t xml:space="preserve">State of formation</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Delaware</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color w:val="19382b"/>
                <w:sz w:val="16"/>
              </w:rPr>
              <w:t xml:space="preserve">Exemption</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Regulation D, Rule 506(c)</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color w:val="19382b"/>
                <w:sz w:val="16"/>
              </w:rPr>
              <w:t xml:space="preserve">Price per membership unit</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$25,000</w:t>
            </w:r>
          </w:p>
        </w:tc>
      </w:tr>
    </w:tbl>
    <w:p>
      <w:pPr>
        <w:spacing w:lineRule="auto"/>
      </w:pPr>
      <w:r>
        <w:rPr/>
      </w:r>
    </w:p>
    <w:p>
      <w:pPr>
        <w:spacing w:lineRule="auto"/>
      </w:pPr>
      <w:r>
        <w:rPr/>
        <w:t xml:space="preserve">The Company is offering membership units to Members pursuant to Regulation D, Rule 506(c). The Manager will direct the operations of the Company in accordance with its governing documents.</w:t>
      </w:r>
    </w:p>
    <w:p>
      <w:pPr>
        <w:pStyle w:val="Heading2"/>
        <w:spacing w:lineRule="auto"/>
      </w:pPr>
      <w:r>
        <w:rPr/>
        <w:t xml:space="preserve">Section III · Sponsor &amp; management</w:t>
      </w:r>
    </w:p>
    <w:p>
      <w:pPr>
        <w:pStyle w:val="Heading3"/>
        <w:spacing w:lineRule="auto"/>
      </w:pPr>
      <w:r>
        <w:rPr/>
        <w:t xml:space="preserve">Convergence Lead Capital</w:t>
      </w:r>
    </w:p>
    <w:p>
      <w:pPr>
        <w:spacing w:lineRule="auto"/>
      </w:pPr>
      <w:r>
        <w:rPr>
          <w:color w:val="244B37"/>
          <w:sz w:val="20"/>
        </w:rPr>
        <w:t xml:space="preserve">The Manager (Convergence Lead Capital) will direct the company and act on behalf of the members.</w:t>
      </w:r>
    </w:p>
    <w:p>
      <w:pPr>
        <w:spacing w:lineRule="auto"/>
      </w:pPr>
      <w:r>
        <w:rPr/>
        <w:t xml:space="preserve">Convergence Lead Capital is a venture SPV sponsor operated by the principals of Convergence Partners, an early-stage venture fund with </w:t>
      </w:r>
      <w:r>
        <w:rPr/>
        <w:t xml:space="preserve">$180M</w:t>
      </w:r>
      <w:r>
        <w:rPr/>
        <w:t xml:space="preserve"> under management across two vintages. Convergence Partners led the Seed and Series A rounds of NeuralStack and holds board observer rights through the Series B round, providing ongoing visibility into company performance. General Partner Priya Venkatesan has 14 years of venture experience, previously at a Tier-1 Menlo Park venture fund where she led investments in three subsequent unicorn outcomes. Partner Kofi Agyeman leads the firm's AI and deep-tech practice and was previously an ML engineering leader at a major hyperscaler. The firm has sponsored 11 prior SPVs alongside Convergence fund positions, with a weighted-average gross multiple of 3.8x on realized investments.</w:t>
      </w:r>
    </w:p>
    <w:p>
      <w:pPr>
        <w:spacing w:lineRule="auto"/>
      </w:pPr>
      <w:r>
        <w:rPr>
          <w:b/>
        </w:rPr>
        <w:t xml:space="preserve">Contact:</w:t>
      </w:r>
    </w:p>
    <w:p>
      <w:pPr>
        <w:spacing w:lineRule="auto"/>
      </w:pPr>
      <w:r>
        <w:rPr/>
        <w:t xml:space="preserve"> investor-relations@convergence-lead-capital.example.com</w:t>
      </w:r>
    </w:p>
    <w:p>
      <w:pPr>
        <w:pStyle w:val="Heading2"/>
        <w:spacing w:lineRule="auto"/>
      </w:pPr>
      <w:r>
        <w:rPr/>
        <w:t xml:space="preserve">Section IV · The offering</w:t>
      </w:r>
    </w:p>
    <w:p>
      <w:pPr>
        <w:pStyle w:val="Heading3"/>
        <w:spacing w:lineRule="auto"/>
      </w:pPr>
      <w:r>
        <w:rPr/>
        <w:t xml:space="preserve">Use of proceeds</w:t>
      </w:r>
    </w:p>
    <w:p>
      <w:pPr>
        <w:spacing w:lineRule="auto"/>
      </w:pPr>
      <w:r>
        <w:rPr/>
        <w:t xml:space="preserve">Direct venture investment into the Series B preferred round of NeuralStack Inc. alongside a lead institutional VC. A detailed expense allocation is not supplied in this fictional example. The table shows the full </w:t>
      </w:r>
      <w:r>
        <w:rPr/>
        <w:t xml:space="preserve">$4.5M</w:t>
      </w:r>
      <w:r>
        <w:rPr/>
        <w:t xml:space="preserve"> offering budget.</w:t>
      </w:r>
    </w:p>
    <w:p>
      <w:pPr>
        <w:pStyle w:val="Heading3"/>
        <w:spacing w:lineRule="auto"/>
      </w:pPr>
      <w:r>
        <w:rPr/>
        <w:t xml:space="preserve">Investor class / tier</w:t>
      </w:r>
    </w:p>
    <w:p>
      <w:pPr>
        <w:spacing w:lineRule="auto"/>
      </w:pPr>
      <w:r>
        <w:rPr/>
        <w:t xml:space="preserve">Accredited investors only</w:t>
      </w:r>
    </w:p>
    <w:p>
      <w:pPr>
        <w:pStyle w:val="Heading2"/>
        <w:spacing w:lineRule="auto"/>
      </w:pPr>
      <w:r>
        <w:rPr/>
        <w:t xml:space="preserve">Section V · Use of proceeds</w:t>
      </w:r>
    </w:p>
    <w:p>
      <w:pPr>
        <w:spacing w:lineRule="auto"/>
      </w:pPr>
      <w:r>
        <w:rPr/>
        <w:t xml:space="preserve">Direct venture investment into the Series B preferred round of NeuralStack Inc. alongside a lead institutional VC. A detailed expense allocation is not supplied in this fictional example. The table shows the full </w:t>
      </w:r>
      <w:r>
        <w:rPr/>
        <w:t xml:space="preserve">$4.5M</w:t>
      </w:r>
      <w:r>
        <w:rPr/>
        <w:t xml:space="preserve"> offering budget.</w:t>
      </w:r>
    </w:p>
    <w:tbl>
      <w:tblPr>
        <w:tblBorders>
          <w:top w:val="nil" w:sz="1" w:space="0" w:color="B9C3CF"/>
          <w:bottom w:val="nil" w:sz="1" w:space="0" w:color="B9C3CF"/>
          <w:left w:val="nil" w:sz="1" w:space="0" w:color="B9C3CF"/>
          <w:right w:val="nil" w:sz="1" w:space="0" w:color="B9C3CF"/>
          <w:insideV w:val="single" w:sz="1" w:space="0" w:color="B9C3CF"/>
          <w:insideH w:val="single" w:sz="1" w:space="0" w:color="B9C3CF"/>
        </w:tblBorders>
        <w:tblW w:type="dxa" w:w="9360"/>
        <w:tblCellMar>
          <w:top w:type="dxa" w:w="80"/>
          <w:bottom w:type="dxa" w:w="80"/>
          <w:left w:type="dxa" w:w="160"/>
          <w:right w:type="dxa" w:w="160"/>
        </w:tblCellMar>
        <w:jc w:val="center"/>
      </w:tblPr>
      <w:tblGrid>
        <w:gridCol w:w="3120"/>
        <w:gridCol w:w="3120"/>
        <w:gridCol w:w="3120"/>
      </w:tblGrid>
      <w:tr>
        <w:trPr>
          <w:tblHeader/>
          <w:cantSplit/>
        </w:trPr>
        <w:tc>
          <w:tcPr>
            <w:tcBorders>
              <w:top w:val="single" w:sz="4" w:space="0" w:color="B9C3CF"/>
              <w:bottom w:val="single" w:sz="4" w:space="0" w:color="B9C3CF"/>
              <w:left w:val="single" w:sz="4" w:space="0" w:color="B9C3CF"/>
              <w:right w:val="single" w:sz="4" w:space="0" w:color="B9C3CF"/>
            </w:tcBorders>
            <w:shd w:val="clear" w:fill="f2f4f7"/>
            <w:vAlign w:val="center"/>
          </w:tcPr>
          <w:p>
            <w:pPr>
              <w:jc w:val="left"/>
              <w:spacing w:lineRule="auto"/>
            </w:pPr>
            <w:r>
              <w:rPr>
                <w:color w:val="19382b"/>
                <w:sz w:val="16"/>
              </w:rPr>
              <w:t xml:space="preserve">Category</w:t>
            </w:r>
          </w:p>
        </w:tc>
        <w:tc>
          <w:tcPr>
            <w:tcBorders>
              <w:top w:val="single" w:sz="4" w:space="0" w:color="B9C3CF"/>
              <w:bottom w:val="single" w:sz="4" w:space="0" w:color="B9C3CF"/>
              <w:left w:val="single" w:sz="4" w:space="0" w:color="B9C3CF"/>
              <w:right w:val="single" w:sz="4" w:space="0" w:color="B9C3CF"/>
            </w:tcBorders>
            <w:shd w:val="clear" w:fill="f2f4f7"/>
            <w:vAlign w:val="center"/>
          </w:tcPr>
          <w:p>
            <w:pPr>
              <w:jc w:val="left"/>
              <w:spacing w:lineRule="auto"/>
            </w:pPr>
            <w:r>
              <w:rPr>
                <w:color w:val="19382b"/>
                <w:sz w:val="16"/>
              </w:rPr>
              <w:t xml:space="preserve">Amount</w:t>
            </w:r>
          </w:p>
        </w:tc>
        <w:tc>
          <w:tcPr>
            <w:tcBorders>
              <w:top w:val="single" w:sz="4" w:space="0" w:color="B9C3CF"/>
              <w:bottom w:val="single" w:sz="4" w:space="0" w:color="B9C3CF"/>
              <w:left w:val="single" w:sz="4" w:space="0" w:color="B9C3CF"/>
              <w:right w:val="single" w:sz="4" w:space="0" w:color="B9C3CF"/>
            </w:tcBorders>
            <w:shd w:val="clear" w:fill="f2f4f7"/>
            <w:vAlign w:val="center"/>
          </w:tcPr>
          <w:p>
            <w:pPr>
              <w:jc w:val="left"/>
              <w:spacing w:lineRule="auto"/>
            </w:pPr>
            <w:r>
              <w:rPr>
                <w:color w:val="19382b"/>
                <w:sz w:val="16"/>
              </w:rPr>
              <w:t xml:space="preserve">% of total</w:t>
            </w:r>
          </w:p>
        </w:tc>
      </w:tr>
      <w:tblGrid>
        <w:gridCol w:w="3120"/>
        <w:gridCol w:w="3120"/>
        <w:gridCol w:w="3120"/>
      </w:tblGrid>
      <w:tr>
        <w:trPr>
          <w:cantSplit/>
        </w:trPr>
        <w:tc>
          <w:tcPr>
            <w:tcBorders>
              <w:top w:val="single" w:sz="4" w:space="0" w:color="B9C3CF"/>
              <w:bottom w:val="single" w:sz="4" w:space="0" w:color="B9C3CF"/>
              <w:left w:val="single" w:sz="4" w:space="0" w:color="B9C3CF"/>
              <w:right w:val="single" w:sz="4" w:space="0" w:color="B9C3CF"/>
            </w:tcBorders>
            <w:vAlign w:val="center"/>
          </w:tcPr>
          <w:p>
            <w:pPr>
              <w:jc w:val="left"/>
              <w:spacing w:lineRule="auto"/>
            </w:pPr>
            <w:r>
              <w:rPr>
                <w:b/>
                <w:sz w:val="16"/>
              </w:rPr>
              <w:t xml:space="preserve">Strategy deployment and related expenses (not itemized)</w:t>
            </w:r>
          </w:p>
          <w:p>
            <w:pPr>
              <w:jc w:val="left"/>
              <w:spacing w:lineRule="auto"/>
            </w:pPr>
            <w:r>
              <w:rPr>
                <w:color w:val="5E6650"/>
                <w:sz w:val="17"/>
              </w:rPr>
              <w:t xml:space="preserve">Direct venture investment into the Series B preferred round of NeuralStack Inc. alongside a lead institutional VC.</w:t>
            </w:r>
          </w:p>
        </w:tc>
        <w:tc>
          <w:tcPr>
            <w:tcBorders>
              <w:top w:val="single" w:sz="4" w:space="0" w:color="B9C3CF"/>
              <w:bottom w:val="single" w:sz="4" w:space="0" w:color="B9C3CF"/>
              <w:left w:val="single" w:sz="4" w:space="0" w:color="B9C3CF"/>
              <w:right w:val="single" w:sz="4" w:space="0" w:color="B9C3CF"/>
            </w:tcBorders>
            <w:vAlign w:val="center"/>
          </w:tcPr>
          <w:p>
            <w:pPr>
              <w:jc w:val="left"/>
              <w:spacing w:lineRule="auto"/>
            </w:pPr>
            <w:r>
              <w:rPr>
                <w:sz w:val="16"/>
              </w:rPr>
              <w:t xml:space="preserve">$4,500,000</w:t>
            </w:r>
          </w:p>
        </w:tc>
        <w:tc>
          <w:tcPr>
            <w:tcBorders>
              <w:top w:val="single" w:sz="4" w:space="0" w:color="B9C3CF"/>
              <w:bottom w:val="single" w:sz="4" w:space="0" w:color="B9C3CF"/>
              <w:left w:val="single" w:sz="4" w:space="0" w:color="B9C3CF"/>
              <w:right w:val="single" w:sz="4" w:space="0" w:color="B9C3CF"/>
            </w:tcBorders>
            <w:vAlign w:val="center"/>
          </w:tcPr>
          <w:p>
            <w:pPr>
              <w:jc w:val="left"/>
              <w:spacing w:lineRule="auto"/>
            </w:pPr>
            <w:r>
              <w:rPr>
                <w:sz w:val="16"/>
              </w:rPr>
              <w:t xml:space="preserve">100.0%</w:t>
            </w:r>
          </w:p>
        </w:tc>
      </w:tr>
      <w:tr>
        <w:trPr>
          <w:cantSplit/>
        </w:trPr>
        <w:tc>
          <w:tcPr>
            <w:tcBorders>
              <w:top w:val="single" w:sz="4" w:space="0" w:color="B9C3CF"/>
              <w:bottom w:val="single" w:sz="4" w:space="0" w:color="B9C3CF"/>
              <w:left w:val="single" w:sz="4" w:space="0" w:color="B9C3CF"/>
              <w:right w:val="single" w:sz="4" w:space="0" w:color="B9C3CF"/>
            </w:tcBorders>
            <w:shd w:val="clear" w:fill="F4F0E3"/>
            <w:vAlign w:val="center"/>
          </w:tcPr>
          <w:p>
            <w:pPr>
              <w:jc w:val="left"/>
              <w:spacing w:lineRule="auto"/>
            </w:pPr>
            <w:r>
              <w:rPr>
                <w:sz w:val="16"/>
              </w:rPr>
              <w:t xml:space="preserve">Total</w:t>
            </w:r>
          </w:p>
        </w:tc>
        <w:tc>
          <w:tcPr>
            <w:tcBorders>
              <w:top w:val="single" w:sz="4" w:space="0" w:color="B9C3CF"/>
              <w:bottom w:val="single" w:sz="4" w:space="0" w:color="B9C3CF"/>
              <w:left w:val="single" w:sz="4" w:space="0" w:color="B9C3CF"/>
              <w:right w:val="single" w:sz="4" w:space="0" w:color="B9C3CF"/>
            </w:tcBorders>
            <w:shd w:val="clear" w:fill="F4F0E3"/>
            <w:vAlign w:val="center"/>
          </w:tcPr>
          <w:p>
            <w:pPr>
              <w:jc w:val="left"/>
              <w:spacing w:lineRule="auto"/>
            </w:pPr>
            <w:r>
              <w:rPr>
                <w:sz w:val="16"/>
              </w:rPr>
              <w:t xml:space="preserve">$4,500,000</w:t>
            </w:r>
          </w:p>
        </w:tc>
        <w:tc>
          <w:tcPr>
            <w:tcBorders>
              <w:top w:val="single" w:sz="4" w:space="0" w:color="B9C3CF"/>
              <w:bottom w:val="single" w:sz="4" w:space="0" w:color="B9C3CF"/>
              <w:left w:val="single" w:sz="4" w:space="0" w:color="B9C3CF"/>
              <w:right w:val="single" w:sz="4" w:space="0" w:color="B9C3CF"/>
            </w:tcBorders>
            <w:shd w:val="clear" w:fill="F4F0E3"/>
            <w:vAlign w:val="center"/>
          </w:tcPr>
          <w:p>
            <w:pPr>
              <w:jc w:val="left"/>
              <w:spacing w:lineRule="auto"/>
            </w:pPr>
            <w:r>
              <w:rPr>
                <w:sz w:val="16"/>
              </w:rPr>
              <w:t xml:space="preserve">100.0%</w:t>
            </w:r>
          </w:p>
        </w:tc>
      </w:tr>
    </w:tbl>
    <w:p>
      <w:pPr>
        <w:spacing w:lineRule="auto"/>
      </w:pPr>
      <w:r>
        <w:rPr/>
      </w:r>
    </w:p>
    <w:p>
      <w:pPr>
        <w:pStyle w:val="Heading2"/>
        <w:spacing w:lineRule="auto"/>
      </w:pPr>
      <w:r>
        <w:rPr/>
        <w:t xml:space="preserve">Section VI · Portfolio company</w:t>
      </w:r>
    </w:p>
    <w:p>
      <w:pPr>
        <w:pStyle w:val="Heading3"/>
        <w:spacing w:lineRule="auto"/>
      </w:pPr>
      <w:r>
        <w:rPr/>
        <w:t xml:space="preserve">NeuralStack Inc.</w:t>
      </w:r>
    </w:p>
    <w:tbl>
      <w:tblPr>
        <w:tblBorders>
          <w:top w:val="nil" w:sz="1" w:space="0" w:color="B9C3CF"/>
          <w:bottom w:val="nil" w:sz="1" w:space="0" w:color="B9C3CF"/>
          <w:left w:val="nil" w:sz="1" w:space="0" w:color="B9C3CF"/>
          <w:right w:val="nil" w:sz="1" w:space="0" w:color="B9C3CF"/>
          <w:insideV w:val="single" w:sz="1" w:space="0" w:color="B9C3CF"/>
          <w:insideH w:val="single" w:sz="1" w:space="0" w:color="B9C3CF"/>
        </w:tblBorders>
        <w:tblW w:type="dxa" w:w="9360"/>
        <w:tblCellMar>
          <w:top w:type="dxa" w:w="80"/>
          <w:bottom w:type="dxa" w:w="80"/>
          <w:left w:type="dxa" w:w="160"/>
          <w:right w:type="dxa" w:w="160"/>
        </w:tblCellMar>
        <w:jc w:val="center"/>
      </w:tblPr>
      <w:tblGrid>
        <w:gridCol w:w="4680"/>
        <w:gridCol w:w="4680"/>
      </w:tblGrid>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color w:val="19382b"/>
                <w:sz w:val="16"/>
              </w:rPr>
              <w:t xml:space="preserve">Stage</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Series b</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color w:val="19382b"/>
                <w:sz w:val="16"/>
              </w:rPr>
              <w:t xml:space="preserve">Headquarters</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San Francisco, CA</w:t>
            </w:r>
          </w:p>
        </w:tc>
      </w:tr>
    </w:tbl>
    <w:p>
      <w:pPr>
        <w:spacing w:lineRule="auto"/>
      </w:pPr>
      <w:r>
        <w:rPr/>
      </w:r>
    </w:p>
    <w:p>
      <w:pPr>
        <w:pStyle w:val="Heading3"/>
        <w:spacing w:lineRule="auto"/>
      </w:pPr>
      <w:r>
        <w:rPr/>
        <w:t xml:space="preserve">Business description</w:t>
      </w:r>
    </w:p>
    <w:p>
      <w:pPr>
        <w:spacing w:lineRule="auto"/>
      </w:pPr>
      <w:r>
        <w:rPr/>
        <w:t xml:space="preserve">Target company: NeuralStack Inc., a San Francisco-based Delaware C-corporation founded in 2023. Product: AI inference infrastructure platform that delivers optimized, cost-efficient model serving for production AI applications. Revenue: </w:t>
      </w:r>
      <w:r>
        <w:rPr/>
        <w:t xml:space="preserve">$18M</w:t>
      </w:r>
      <w:r>
        <w:rPr/>
        <w:t xml:space="preserve"> ARR at Series B close (growing approximately 18% month-over-month). Employees: 52 (30 engineering, 12 GTM, 10 general &amp; administrative). Key customers: 180+ paying accounts, including four Fortune 500 enterprise accounts. Competitive position: among 6–8 well-funded entrants in the AI inference infrastructure category.</w:t>
      </w:r>
    </w:p>
    <w:p>
      <w:pPr>
        <w:pStyle w:val="Heading2"/>
        <w:spacing w:lineRule="auto"/>
      </w:pPr>
      <w:r>
        <w:rPr/>
        <w:t xml:space="preserve">Section VII · Term sheet</w:t>
      </w:r>
    </w:p>
    <w:tbl>
      <w:tblPr>
        <w:tblBorders>
          <w:top w:val="nil" w:sz="1" w:space="0" w:color="B9C3CF"/>
          <w:bottom w:val="nil" w:sz="1" w:space="0" w:color="B9C3CF"/>
          <w:left w:val="nil" w:sz="1" w:space="0" w:color="B9C3CF"/>
          <w:right w:val="nil" w:sz="1" w:space="0" w:color="B9C3CF"/>
          <w:insideV w:val="single" w:sz="1" w:space="0" w:color="B9C3CF"/>
          <w:insideH w:val="single" w:sz="1" w:space="0" w:color="B9C3CF"/>
        </w:tblBorders>
        <w:tblW w:type="dxa" w:w="9360"/>
        <w:tblCellMar>
          <w:top w:type="dxa" w:w="80"/>
          <w:bottom w:type="dxa" w:w="80"/>
          <w:left w:type="dxa" w:w="160"/>
          <w:right w:type="dxa" w:w="160"/>
        </w:tblCellMar>
        <w:jc w:val="center"/>
      </w:tblPr>
      <w:tblGrid>
        <w:gridCol w:w="4680"/>
        <w:gridCol w:w="4680"/>
      </w:tblGrid>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color w:val="19382b"/>
                <w:sz w:val="16"/>
              </w:rPr>
              <w:t xml:space="preserve">Security type</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Preferred</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color w:val="19382b"/>
                <w:sz w:val="16"/>
              </w:rPr>
              <w:t xml:space="preserve">Liquidation preference</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1x non-participating</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color w:val="19382b"/>
                <w:sz w:val="16"/>
              </w:rPr>
              <w:t xml:space="preserve">Participating</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No</w:t>
            </w:r>
          </w:p>
        </w:tc>
      </w:tr>
    </w:tbl>
    <w:p>
      <w:pPr>
        <w:spacing w:lineRule="auto"/>
      </w:pPr>
      <w:r>
        <w:rPr/>
      </w:r>
    </w:p>
    <w:p>
      <w:pPr>
        <w:pStyle w:val="Heading2"/>
        <w:spacing w:lineRule="auto"/>
      </w:pPr>
      <w:r>
        <w:rPr/>
        <w:t xml:space="preserve">Section VIII · Tax considerations</w:t>
      </w:r>
    </w:p>
    <w:p>
      <w:pPr>
        <w:pStyle w:val="Heading3"/>
        <w:spacing w:lineRule="auto"/>
      </w:pPr>
      <w:r>
        <w:rPr/>
        <w:t xml:space="preserve">Entity tax treatment</w:t>
      </w:r>
    </w:p>
    <w:p>
      <w:pPr>
        <w:spacing w:lineRule="auto"/>
      </w:pPr>
      <w:r>
        <w:rPr/>
        <w:t xml:space="preserve">Pass-through (LLC taxed as partnership)</w:t>
      </w:r>
    </w:p>
    <w:p>
      <w:pPr>
        <w:pStyle w:val="Heading3"/>
        <w:spacing w:lineRule="auto"/>
      </w:pPr>
      <w:r>
        <w:rPr/>
        <w:t xml:space="preserve">K-1 delivery</w:t>
      </w:r>
    </w:p>
    <w:p>
      <w:pPr>
        <w:spacing w:lineRule="auto"/>
      </w:pPr>
      <w:r>
        <w:rPr/>
        <w:t xml:space="preserve">By March 15 annually</w:t>
      </w:r>
    </w:p>
    <w:p>
      <w:pPr>
        <w:pStyle w:val="Heading3"/>
        <w:spacing w:lineRule="auto"/>
      </w:pPr>
      <w:r>
        <w:rPr/>
        <w:t xml:space="preserve">UBTI / ERISA / IRA</w:t>
      </w:r>
    </w:p>
    <w:p>
      <w:pPr>
        <w:spacing w:lineRule="auto"/>
      </w:pPr>
      <w:r>
        <w:rPr/>
        <w:t xml:space="preserve">IRA and ERISA investors may generate UBTI from the Company's use of leverage. Such investors should consult their plan administrator before investing.</w:t>
      </w:r>
    </w:p>
    <w:p>
      <w:pPr>
        <w:pStyle w:val="Heading3"/>
        <w:spacing w:lineRule="auto"/>
      </w:pPr>
      <w:r>
        <w:rPr/>
        <w:t xml:space="preserve">State income tax</w:t>
      </w:r>
    </w:p>
    <w:p>
      <w:pPr>
        <w:spacing w:lineRule="auto"/>
      </w:pPr>
      <w:r>
        <w:rPr/>
        <w:t xml:space="preserve">The Company may generate income in states other than the investor's state of residence. Investors may be required to file non-resident income tax returns in those states.</w:t>
      </w:r>
    </w:p>
    <w:p>
      <w:pPr>
        <w:spacing w:lineRule="auto"/>
      </w:pPr>
      <w:r>
        <w:rPr>
          <w:b/>
        </w:rPr>
        <w:t xml:space="preserve">Consult your tax advisor.</w:t>
      </w:r>
    </w:p>
    <w:p>
      <w:pPr>
        <w:spacing w:lineRule="auto"/>
      </w:pPr>
      <w:r>
        <w:rPr/>
        <w:t xml:space="preserve"> The foregoing is a general summary and is not tax advice. Each prospective investor should consult with his or her own tax advisor regarding the specific federal, state, and local tax consequences of an investment in the Company.</w:t>
      </w:r>
    </w:p>
    <w:p>
      <w:pPr>
        <w:pStyle w:val="Heading2"/>
        <w:spacing w:lineRule="auto"/>
      </w:pPr>
      <w:r>
        <w:rPr/>
        <w:t xml:space="preserve">Section IX · Risk factors</w:t>
      </w:r>
    </w:p>
    <w:p>
      <w:pPr>
        <w:spacing w:lineRule="auto"/>
      </w:pPr>
      <w:r>
        <w:rPr>
          <w:color w:val="244B37"/>
          <w:sz w:val="20"/>
        </w:rPr>
        <w:t xml:space="preserve">An investment in the Company involves substantial risk. Prospective investors should carefully consider the following risks, in addition to the other information presented in this Memorandum, before making an investment decision.</w:t>
      </w:r>
    </w:p>
    <w:p>
      <w:pPr>
        <w:pStyle w:val="Heading3"/>
        <w:spacing w:lineRule="auto"/>
      </w:pPr>
      <w:r>
        <w:rPr/>
        <w:t xml:space="preserve">Illiquid investment</w:t>
      </w:r>
    </w:p>
    <w:p>
      <w:pPr>
        <w:spacing w:lineRule="auto"/>
      </w:pPr>
      <w:r>
        <w:rPr/>
        <w:t xml:space="preserve">An investment in the interests is illiquid. There is no public market for the interests and none is expected to develop. Investors must be prepared to hold their investment for the full investment period and may not be able to sell when they need liquidity.</w:t>
      </w:r>
    </w:p>
    <w:p>
      <w:pPr>
        <w:pStyle w:val="Heading3"/>
        <w:spacing w:lineRule="auto"/>
      </w:pPr>
      <w:r>
        <w:rPr/>
        <w:t xml:space="preserve">Risk of loss of capital</w:t>
      </w:r>
    </w:p>
    <w:p>
      <w:pPr>
        <w:spacing w:lineRule="auto"/>
      </w:pPr>
      <w:r>
        <w:rPr/>
        <w:t xml:space="preserve">An investment in the interests involves a high degree of risk and could result in the partial or total loss of an investor's capital. Investors should only invest capital they can afford to lose entirely.</w:t>
      </w:r>
    </w:p>
    <w:p>
      <w:pPr>
        <w:pStyle w:val="Heading3"/>
        <w:spacing w:lineRule="auto"/>
      </w:pPr>
      <w:r>
        <w:rPr/>
        <w:t xml:space="preserve">Distributions are not guaranteed</w:t>
      </w:r>
    </w:p>
    <w:p>
      <w:pPr>
        <w:spacing w:lineRule="auto"/>
      </w:pPr>
      <w:r>
        <w:rPr/>
        <w:t xml:space="preserve">The Company is not required to make distributions. The timing and amount of any distribution depend on performance, available cash, obligations, reserves, and the governing documents.</w:t>
      </w:r>
    </w:p>
    <w:p>
      <w:pPr>
        <w:pStyle w:val="Heading3"/>
        <w:spacing w:lineRule="auto"/>
      </w:pPr>
      <w:r>
        <w:rPr/>
        <w:t xml:space="preserve">Reliance on the Sponsor</w:t>
      </w:r>
    </w:p>
    <w:p>
      <w:pPr>
        <w:spacing w:lineRule="auto"/>
      </w:pPr>
      <w:r>
        <w:rPr/>
        <w:t xml:space="preserve">The success of the investment depends on the skill, experience, and efforts of the Sponsor and its principals. The loss of key personnel or failure to execute the investment strategy could materially adversely affect the Company and the investment.</w:t>
      </w:r>
    </w:p>
    <w:p>
      <w:pPr>
        <w:pStyle w:val="Heading3"/>
        <w:spacing w:lineRule="auto"/>
      </w:pPr>
      <w:r>
        <w:rPr/>
        <w:t xml:space="preserve">Conflicts of interest</w:t>
      </w:r>
    </w:p>
    <w:p>
      <w:pPr>
        <w:spacing w:lineRule="auto"/>
      </w:pPr>
      <w:r>
        <w:rPr/>
        <w:t xml:space="preserve">The Sponsor and its affiliates may engage in other activities and may face conflicts involving competing opportunities, allocation of time, fees, and related-party transactions. Investors rely on the Sponsor to identify and manage those conflicts in accordance with the governing documents.</w:t>
      </w:r>
    </w:p>
    <w:p>
      <w:pPr>
        <w:pStyle w:val="Heading3"/>
        <w:spacing w:lineRule="auto"/>
      </w:pPr>
      <w:r>
        <w:rPr/>
        <w:t xml:space="preserve">Regulatory and legal changes</w:t>
      </w:r>
    </w:p>
    <w:p>
      <w:pPr>
        <w:spacing w:lineRule="auto"/>
      </w:pPr>
      <w:r>
        <w:rPr/>
        <w:t xml:space="preserve">Changes in laws, regulations, licensing requirements, or their interpretation could increase costs, restrict operations, or adversely affect the Company, its investments, or investor returns.</w:t>
      </w:r>
    </w:p>
    <w:p>
      <w:pPr>
        <w:pStyle w:val="Heading3"/>
        <w:spacing w:lineRule="auto"/>
      </w:pPr>
      <w:r>
        <w:rPr/>
        <w:t xml:space="preserve">Deal-specific risks</w:t>
      </w:r>
    </w:p>
    <w:p>
      <w:pPr>
        <w:spacing w:lineRule="auto"/>
      </w:pPr>
      <w:r>
        <w:rPr/>
        <w:t xml:space="preserve">Startup failure risk, NeuralStack is an early-stage venture with a limited operating history, negative operating cash flow, and substantial execution risk; a significant probability exists that the company will fail and investors will lose all or substantially all of their capital. Competitive risk, the AI infrastructure category includes well-capitalized incumbents (leading GPU clouds, foundation model providers) and multiple well-funded startup entrants, any of whom could erode NeuralStack's market position or pricing power. Illiquidity, private venture investments have no public market; investor capital is illiquid until a qualifying exit event (IPO or strategic acquisition), which typically takes 7–10 years from a Series B financing. Dilution, future financing rounds will dilute the SPV's ownership percentage; down-round protection is limited to broad-based weighted-average anti-dilution and may not fully protect investors in a down-round scenario. Single-company concentration, the SPV holds a single venture position with no portfolio diversification; investors should consider this investment as part of a broader diversified private investment portfolio.</w:t>
      </w:r>
    </w:p>
    <w:p>
      <w:pPr>
        <w:spacing w:lineRule="auto"/>
      </w:pPr>
      <w:r>
        <w:rPr/>
        <w:t xml:space="preserve">Section X, Notices to Residents</w:t>
      </w:r>
    </w:p>
    <w:p>
      <w:pPr>
        <w:pStyle w:val="Heading2"/>
        <w:spacing w:lineRule="auto"/>
      </w:pPr>
      <w:r>
        <w:rPr/>
        <w:t xml:space="preserve">Notices to Residents</w:t>
      </w:r>
    </w:p>
    <w:p>
      <w:pPr>
        <w:spacing w:after="240" w:lineRule="auto"/>
      </w:pPr>
      <w:r>
        <w:rPr>
          <w:color w:val="244B37"/>
          <w:sz w:val="20"/>
        </w:rPr>
        <w:t xml:space="preserve">The following language consists entirely of draft suggestions selected for possible offering jurisdictions. Selection does not establish that a legend, exemption, filing, or jurisdiction applies. Each suggestion must be confirmed and approved by securities counsel before use.</w:t>
      </w:r>
    </w:p>
    <w:p>
      <w:pPr>
        <w:spacing w:lineRule="auto"/>
      </w:pPr>
      <w:r>
        <w:rPr>
          <w:b/>
        </w:rPr>
        <w:t xml:space="preserve">Drafting status, counsel review pending.</w:t>
      </w:r>
    </w:p>
    <w:p>
      <w:pPr>
        <w:spacing w:lineRule="auto"/>
      </w:pPr>
      <w:r>
        <w:rPr/>
        <w:t xml:space="preserve"> Every legend shown here is a non-authoritative draft suggestion, not a determination that the language applies or is legally sufficient. Jurisdiction selection, notice-filing obligations, wording, delivery requirements, fees, and deadlines vary with the offering and investor facts and may change. Securities counsel must verify the final jurisdictions and approve every legend before investor distribution.</w:t>
      </w:r>
    </w:p>
    <w:p>
      <w:pPr>
        <w:pStyle w:val="Heading3"/>
        <w:spacing w:after="80" w:lineRule="auto"/>
      </w:pPr>
      <w:r>
        <w:rPr>
          <w:rFonts w:ascii="&amp;#x27" w:hAnsi="&amp;#x27"/>
          <w:color w:val="111911"/>
          <w:sz w:val="19"/>
        </w:rPr>
        <w:t xml:space="preserve">FEDERAL (U.S. SECURITIES AND EXCHANGE COMMISSION)</w:t>
      </w:r>
    </w:p>
    <w:p>
      <w:pPr>
        <w:spacing w:line="320" w:lineRule="auto"/>
      </w:pPr>
      <w:r>
        <w:rPr>
          <w:rFonts w:ascii="&amp;#x27" w:hAnsi="&amp;#x27"/>
          <w:color w:val="111911"/>
          <w:sz w:val="20"/>
        </w:rPr>
        <w:t xml:space="preserve">THE SECURITIES DESCRIBED IN THIS MEMORANDUM HAVE NOT BEEN REGISTERED UNDER THE SECURITIES ACT OF 1933, AS AMENDED (THE "SECURITIES ACT"), OR UNDER APPLICABLE STATE SECURITIES LAWS. THE ISSUER INTENDS TO RELY ON RULE 506(c) OF REGULATION D, SUBJECT TO ITS CONDITIONS AND APPLICABLE STATE LAW. THE SECURITIES AND EXCHANGE COMMISSION AND STATE SECURITIES AUTHORITIES HAVE NOT APPROVED OR DISAPPROVED THE SECURITIES, ENDORSED THE OFFERING, OR PASSED UPON THE ACCURACY OR ADEQUACY OF THIS MEMORANDUM. ANY REPRESENTATION TO THE CONTRARY IS UNLAWFUL. THE SECURITIES ARE SUBJECT TO RESTRICTIONS ON TRANSFERABILITY AND RESALE AND MAY NOT BE TRANSFERRED OR RESOLD EXCEPT PURSUANT TO REGISTRATION OR AN AVAILABLE EXEMPTION UNDER APPLICABLE LAW.</w:t>
      </w:r>
    </w:p>
    <w:p>
      <w:pPr>
        <w:pStyle w:val="Heading2"/>
        <w:spacing w:lineRule="auto"/>
      </w:pPr>
      <w:r>
        <w:rPr/>
        <w:t xml:space="preserve">Section XI · Subscription process</w:t>
      </w:r>
    </w:p>
    <w:p>
      <w:pPr>
        <w:spacing w:lineRule="auto"/>
      </w:pPr>
      <w:r>
        <w:rPr/>
        <w:t xml:space="preserve">Complete the subscription materials and investor questionnaire, provide the accreditation-verification information required for Rule 506(c), and follow the funding instructions after the Sponsor accepts the subscription.</w:t>
      </w:r>
    </w:p>
    <w:tbl>
      <w:tblPr>
        <w:tblBorders>
          <w:top w:val="nil" w:sz="1" w:space="0" w:color="B9C3CF"/>
          <w:bottom w:val="nil" w:sz="1" w:space="0" w:color="B9C3CF"/>
          <w:left w:val="nil" w:sz="1" w:space="0" w:color="B9C3CF"/>
          <w:right w:val="nil" w:sz="1" w:space="0" w:color="B9C3CF"/>
          <w:insideV w:val="single" w:sz="1" w:space="0" w:color="B9C3CF"/>
          <w:insideH w:val="single" w:sz="1" w:space="0" w:color="B9C3CF"/>
        </w:tblBorders>
        <w:tblW w:type="dxa" w:w="9360"/>
        <w:tblCellMar>
          <w:top w:type="dxa" w:w="80"/>
          <w:bottom w:type="dxa" w:w="80"/>
          <w:left w:type="dxa" w:w="160"/>
          <w:right w:type="dxa" w:w="160"/>
        </w:tblCellMar>
        <w:jc w:val="center"/>
      </w:tblPr>
      <w:tblGrid>
        <w:gridCol w:w="4680"/>
        <w:gridCol w:w="4680"/>
      </w:tblGrid>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color w:val="19382b"/>
                <w:sz w:val="16"/>
              </w:rPr>
              <w:t xml:space="preserve">Minimum commitment</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$25,000</w:t>
            </w:r>
          </w:p>
        </w:tc>
      </w:tr>
    </w:tbl>
    <w:p>
      <w:pPr>
        <w:spacing w:lineRule="auto"/>
      </w:pPr>
      <w:r>
        <w:rPr/>
      </w:r>
    </w:p>
    <w:p>
      <w:pPr>
        <w:spacing w:lineRule="auto"/>
      </w:pPr>
      <w:r>
        <w:rPr>
          <w:b/>
        </w:rPr>
        <w:t xml:space="preserve">For questions:</w:t>
      </w:r>
    </w:p>
    <w:p>
      <w:pPr>
        <w:spacing w:lineRule="auto"/>
      </w:pPr>
      <w:r>
        <w:rPr/>
        <w:t xml:space="preserve"> investor-relations@convergence-lead-capital.example.com</w:t>
      </w:r>
    </w:p>
    <w:p>
      <w:pPr>
        <w:pStyle w:val="Heading2"/>
        <w:spacing w:lineRule="auto"/>
      </w:pPr>
      <w:r>
        <w:rPr/>
        <w:t xml:space="preserve">Section XII · Glossary of defined terms</w:t>
      </w:r>
    </w:p>
    <w:p>
      <w:pPr>
        <w:spacing w:lineRule="auto"/>
      </w:pPr>
      <w:r>
        <w:rPr>
          <w:color w:val="244B37"/>
          <w:sz w:val="20"/>
        </w:rPr>
        <w:t xml:space="preserve">The following defined terms are used throughout this Memorandum. Terms not defined here have the meanings ascribed to them in the governing agreement.</w:t>
      </w:r>
    </w:p>
    <w:tbl>
      <w:tblPr>
        <w:tblBorders>
          <w:top w:val="nil" w:sz="1" w:space="0" w:color="B9C3CF"/>
          <w:bottom w:val="nil" w:sz="1" w:space="0" w:color="B9C3CF"/>
          <w:left w:val="nil" w:sz="1" w:space="0" w:color="B9C3CF"/>
          <w:right w:val="nil" w:sz="1" w:space="0" w:color="B9C3CF"/>
          <w:insideV w:val="single" w:sz="1" w:space="0" w:color="B9C3CF"/>
          <w:insideH w:val="single" w:sz="1" w:space="0" w:color="B9C3CF"/>
        </w:tblBorders>
        <w:tblW w:type="dxa" w:w="9360"/>
        <w:tblCellMar>
          <w:top w:type="dxa" w:w="80"/>
          <w:bottom w:type="dxa" w:w="80"/>
          <w:left w:type="dxa" w:w="160"/>
          <w:right w:type="dxa" w:w="160"/>
        </w:tblCellMar>
        <w:jc w:val="center"/>
      </w:tblPr>
      <w:tblGrid>
        <w:gridCol w:w="4680"/>
        <w:gridCol w:w="4680"/>
      </w:tblGrid>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Accredited Investor</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An investor who satisfies the income, net worth, professional certification, or entity-status criteria defined by Rule 501 of Regulation D. Accredited investors may participate in Rule 506(b) and Rule 506(c) offerings and enjoy a reduced disclosure regime.</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Accreditation Verification</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The issuer's obligation under Rule 506(c) to take reasonable steps to verify that each purchaser is an accredited investor, for example by reviewing W-2s, brokerage statements, or a third-party verification letter from a licensed professional.</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Blue Sky Filing</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A notice filing made with a state securities regulator in connection with an offering sold to residents of that state. Rule 506 offerings are covered securities that pre-empt substantive state review but still require a notice filing and fee in most states.</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Capital Call</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A demand by the sponsor or general partner that investors contribute a portion of their committed capital. Capital calls typically follow a written notice with a specified funding deadline; failure to fund may trigger default remedies in the operating agreement.</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Catch-Up</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A tier of the distribution waterfall that pays the sponsor a disproportionately high share of profits until the sponsor has "caught up" to an agreed allocation (often 20%) of total distributions above the preferred return. Catch-ups are typically 50/50 or 100/0 in favor of the sponsor until the target is reached.</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Clawback</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A provision that requires the sponsor or general partner to return previously-distributed promote if later losses cause the LPs' aggregate return to fall below the promised preferred return or capital-return threshold. Common in European-style waterfalls.</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Distribution</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A payment of cash (or in-kind property) from the Company to its investors. Distributions follow the order of priority set out in the distribution waterfall and may be subject to legal availability, reserves, and lender consent.</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Escrow</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An arrangement by which subscription funds are held by a qualified third-party escrow agent, typically a bank or trust company, until the minimum offering amount is reached or a specified break date occurs. Funds return to investors if the minimum is not met.</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Form D</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The notice of an exempt offering of securities generally filed electronically with the SEC through EDGAR no later than 15 calendar days after the first sale in a Regulation D offering. States may require separate notice filings, often using a copy of the filed Form D. The form reports information about the issuer, related persons, offering, investors, and use of proceeds.</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General Partner (GP)</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The entity that manages a limited partnership and has personal liability for the partnership's obligations. In private-fund structures the GP is typically an affiliate of the sponsor and receives the management fee and carried interest.</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General Solicitation</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Public advertising and marketing of a securities offering. General solicitation is prohibited under Rule 506(b) but expressly permitted under Rule 506(c) and Regulation A (subject to the respective issuer and investor requirements of each rule).</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Hurdle Rate</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A minimum return threshold that must be achieved before the sponsor earns promote or carried interest. The hurdle is often expressed as an IRR or a preferred return and is the trigger for the next tier of the waterfall.</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Illiquidity</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The condition that an investment cannot readily be sold or transferred. Interests sold under Regulation D are restricted securities and generally cannot be resold without registration or an available exemption; investors should expect to hold through the full hold period.</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Internal Rate of Return (IRR)</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The discount rate that makes the net present value of an investment's contributions and distributions equal to zero. IRR is commonly expressed as an annualized, money-weighted return and is sensitive to the amount and timing of cash flows; it should be considered together with measures such as MOIC and the underlying assumptions.</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Schedule K-1</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The IRS schedule used by partnerships and LLCs taxed as partnerships to report each partner's or member's share of income, deductions, credits, and other tax items. Delivery timing depends on completion of the entity's tax return and any extensions and may be later than the original return due date.</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Key Person Provision</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An LP protection that suspends new investments and, in some cases, terminates the investment period if one or more designated key professionals cease to devote substantially all of their business time to the sponsor or fund.</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Limited Partner (LP)</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A passive investor in a limited partnership whose liability is generally limited to the amount of its capital commitment. Limited partners do not participate in the management of the partnership.</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Manager</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The person or entity that manages a manager-managed limited liability company. In a syndication structure the manager is typically an affiliate of the sponsor and receives management fees and promote.</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MOIC / Equity Multiple</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Multiple of Invested Capital, the ratio of total cash distributions to total invested capital. A 2.0x MOIC means an investor received </w:t>
            </w:r>
          </w:p>
          <w:p>
            <w:pPr>
              <w:jc w:val="left"/>
              <w:spacing w:lineRule="auto"/>
            </w:pPr>
            <w:r>
              <w:rPr>
                <w:sz w:val="16"/>
              </w:rPr>
              <w:t xml:space="preserve">$2</w:t>
            </w:r>
          </w:p>
          <w:p>
            <w:pPr>
              <w:jc w:val="left"/>
              <w:spacing w:lineRule="auto"/>
            </w:pPr>
            <w:r>
              <w:rPr>
                <w:sz w:val="16"/>
              </w:rPr>
              <w:t xml:space="preserve"> for every </w:t>
            </w:r>
          </w:p>
          <w:p>
            <w:pPr>
              <w:jc w:val="left"/>
              <w:spacing w:lineRule="auto"/>
            </w:pPr>
            <w:r>
              <w:rPr>
                <w:sz w:val="16"/>
              </w:rPr>
              <w:t xml:space="preserve">$1</w:t>
            </w:r>
          </w:p>
          <w:p>
            <w:pPr>
              <w:jc w:val="left"/>
              <w:spacing w:lineRule="auto"/>
            </w:pPr>
            <w:r>
              <w:rPr>
                <w:sz w:val="16"/>
              </w:rPr>
              <w:t xml:space="preserve"> contributed. MOIC ignores the time value of money, which is captured by IRR.</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Net Asset Value (NAV)</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The fair value of the Company's assets less its liabilities. NAV per interest is the figure typically used for interim-period reporting, redemptions (if any), and performance measurement.</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Operating Agreement</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The governing document of a limited liability company that sets out the rights and obligations of the members and the manager, including contributions, distributions, management, transfer restrictions, and dissolution. Often delivered as Exhibit A to this Memorandum.</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Private Placement Memorandum (PPM)</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The disclosure document delivered to prospective investors in a private securities offering. This Memorandum, together with its exhibits and the subscription agreement, constitutes the complete offering materials.</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Preferred Return</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A priority return paid to LPs before the sponsor participates in profits. The preferred return is typically a simple or compounded annual percentage on unreturned capital and may be cumulative (accrues if not paid) or non-cumulative.</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Promote / Carried Interest</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The sponsor's disproportionate share of profits above the preferred return. In real estate it is typically called "promote"; in private equity and venture capital it is typically called "carried interest." The promote is the sponsor's primary compensation for performance.</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Rule 506(b)</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The Regulation D safe harbor that permits an issuer to raise an unlimited amount from an unlimited number of accredited investors and up to 35 non-accredited sophisticated investors, so long as no general solicitation is used.</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Rule 506(c)</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The Regulation D safe harbor that permits general solicitation but limits sales to accredited investors only and requires the issuer to take reasonable steps to verify accredited status.</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Sponsor</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The firm that organizes, manages, and promotes the offering. The Sponsor is typically affiliated with the Manager or General Partner and earns fees and promote from the Company.</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Subscription Agreement</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The contract executed by a prospective investor to commit capital to the offering. It contains the investor's representations regarding accreditation and suitability, the payment terms, and the investor's acknowledgment of the risks disclosed in the Memorandum.</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Tax Distribution</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A distribution that the governing documents may require or permit to help investors pay estimated tax liabilities attributable to allocated taxable income. Its timing, assumed tax rate, limitations, and treatment under the distribution waterfall are determined by the governing documents and may not cover an investor's actual liability.</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b/>
                <w:color w:val="19382b"/>
                <w:sz w:val="16"/>
              </w:rPr>
              <w:t xml:space="preserve">Waterfall</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sz w:val="16"/>
              </w:rPr>
              <w:t xml:space="preserve">The ordered rules for distributing cash from the Company to its investors and the sponsor. A typical waterfall first returns invested capital, then pays a preferred return, then splits residual profits between LPs and the sponsor across one or more promote tiers.</w:t>
            </w:r>
          </w:p>
        </w:tc>
      </w:tr>
    </w:tbl>
    <w:p>
      <w:pPr>
        <w:spacing w:lineRule="auto"/>
      </w:pPr>
      <w:r>
        <w:rPr/>
      </w:r>
    </w:p>
    <w:p>
      <w:pPr>
        <w:pStyle w:val="Heading2"/>
        <w:spacing w:lineRule="auto"/>
      </w:pPr>
      <w:r>
        <w:rPr/>
        <w:t xml:space="preserve">Section XIII · Exhibits to this Memorandum</w:t>
      </w:r>
    </w:p>
    <w:p>
      <w:pPr>
        <w:spacing w:lineRule="auto"/>
      </w:pPr>
      <w:r>
        <w:rPr>
          <w:color w:val="244B37"/>
          <w:sz w:val="20"/>
        </w:rPr>
        <w:t xml:space="preserve">The following exhibits are incorporated by reference and, together with this Memorandum, constitute the complete offering materials.</w:t>
      </w:r>
    </w:p>
    <w:tbl>
      <w:tblPr>
        <w:tblBorders>
          <w:top w:val="nil" w:sz="1" w:space="0" w:color="B9C3CF"/>
          <w:bottom w:val="nil" w:sz="1" w:space="0" w:color="B9C3CF"/>
          <w:left w:val="nil" w:sz="1" w:space="0" w:color="B9C3CF"/>
          <w:right w:val="nil" w:sz="1" w:space="0" w:color="B9C3CF"/>
          <w:insideV w:val="single" w:sz="1" w:space="0" w:color="B9C3CF"/>
          <w:insideH w:val="single" w:sz="1" w:space="0" w:color="B9C3CF"/>
        </w:tblBorders>
        <w:tblW w:type="dxa" w:w="9360"/>
        <w:tblCellMar>
          <w:top w:type="dxa" w:w="80"/>
          <w:bottom w:type="dxa" w:w="80"/>
          <w:left w:type="dxa" w:w="160"/>
          <w:right w:type="dxa" w:w="160"/>
        </w:tblCellMar>
        <w:jc w:val="center"/>
      </w:tblPr>
      <w:tblGrid>
        <w:gridCol w:w="4680"/>
        <w:gridCol w:w="4680"/>
      </w:tblGrid>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color w:val="19382b"/>
                <w:sz w:val="16"/>
              </w:rPr>
              <w:t xml:space="preserve">Exhibit A</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b/>
                <w:sz w:val="16"/>
              </w:rPr>
              <w:t xml:space="preserve">Operating Agreement</w:t>
            </w:r>
          </w:p>
          <w:p>
            <w:pPr>
              <w:jc w:val="left"/>
              <w:spacing w:lineRule="auto"/>
            </w:pPr>
            <w:r>
              <w:rPr>
                <w:color w:val="5E6650"/>
                <w:sz w:val="18"/>
              </w:rPr>
              <w:t xml:space="preserve">Governing document of the Company.</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color w:val="19382b"/>
                <w:sz w:val="16"/>
              </w:rPr>
              <w:t xml:space="preserve">Exhibit B</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b/>
                <w:sz w:val="16"/>
              </w:rPr>
              <w:t xml:space="preserve">Subscription Agreement</w:t>
            </w:r>
          </w:p>
          <w:p>
            <w:pPr>
              <w:jc w:val="left"/>
              <w:spacing w:lineRule="auto"/>
            </w:pPr>
            <w:r>
              <w:rPr>
                <w:color w:val="5E6650"/>
                <w:sz w:val="18"/>
              </w:rPr>
              <w:t xml:space="preserve">Contract by which a prospective investor subscribes for interests in the offering.</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color w:val="19382b"/>
                <w:sz w:val="16"/>
              </w:rPr>
              <w:t xml:space="preserve">Exhibit C</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b/>
                <w:sz w:val="16"/>
              </w:rPr>
              <w:t xml:space="preserve">Investor Questionnaire</w:t>
            </w:r>
          </w:p>
          <w:p>
            <w:pPr>
              <w:jc w:val="left"/>
              <w:spacing w:lineRule="auto"/>
            </w:pPr>
            <w:r>
              <w:rPr>
                <w:color w:val="5E6650"/>
                <w:sz w:val="18"/>
              </w:rPr>
              <w:t xml:space="preserve">Accreditation and suitability questionnaire.</w:t>
            </w:r>
          </w:p>
        </w:tc>
      </w:tr>
      <w:tr>
        <w:trPr>
          <w:cantSplit/>
        </w:trPr>
        <w:tc>
          <w:tcPr>
            <w:tcBorders>
              <w:top w:val="single" w:sz="4" w:space="0" w:color="B9C3CF"/>
              <w:bottom w:val="single" w:sz="4" w:space="0" w:color="B9C3CF"/>
              <w:left w:val="single" w:sz="4" w:space="0" w:color="B9C3CF"/>
              <w:right w:val="single" w:sz="4" w:space="0" w:color="B9C3CF"/>
            </w:tcBorders>
            <w:tcW w:w="0" w:type="dxa"/>
            <w:shd w:val="clear" w:fill="f2f4f7"/>
            <w:vAlign w:val="center"/>
          </w:tcPr>
          <w:p>
            <w:pPr>
              <w:jc w:val="left"/>
              <w:spacing w:lineRule="auto"/>
            </w:pPr>
            <w:r>
              <w:rPr>
                <w:color w:val="19382b"/>
                <w:sz w:val="16"/>
              </w:rPr>
              <w:t xml:space="preserve">Exhibit D</w:t>
            </w:r>
          </w:p>
        </w:tc>
        <w:tc>
          <w:tcPr>
            <w:tcBorders>
              <w:top w:val="single" w:sz="4" w:space="0" w:color="B9C3CF"/>
              <w:bottom w:val="single" w:sz="4" w:space="0" w:color="B9C3CF"/>
              <w:left w:val="single" w:sz="4" w:space="0" w:color="B9C3CF"/>
              <w:right w:val="single" w:sz="4" w:space="0" w:color="B9C3CF"/>
            </w:tcBorders>
            <w:tcW w:w="0" w:type="dxa"/>
            <w:vAlign w:val="center"/>
          </w:tcPr>
          <w:p>
            <w:pPr>
              <w:jc w:val="left"/>
              <w:spacing w:lineRule="auto"/>
            </w:pPr>
            <w:r>
              <w:rPr>
                <w:b/>
                <w:sz w:val="16"/>
              </w:rPr>
              <w:t xml:space="preserve">Form W-9</w:t>
            </w:r>
          </w:p>
          <w:p>
            <w:pPr>
              <w:jc w:val="left"/>
              <w:spacing w:lineRule="auto"/>
            </w:pPr>
            <w:r>
              <w:rPr>
                <w:color w:val="5E6650"/>
                <w:sz w:val="18"/>
              </w:rPr>
              <w:t xml:space="preserve">US taxpayer identification form.</w:t>
            </w:r>
          </w:p>
        </w:tc>
      </w:tr>
    </w:tbl>
    <w:p>
      <w:pPr>
        <w:spacing w:lineRule="auto"/>
      </w:pPr>
      <w:r>
        <w:rPr/>
      </w:r>
    </w:p>
    <w:p>
      <w:pPr>
        <w:spacing w:lineRule="auto"/>
      </w:pPr>
      <w:r>
        <w:rPr/>
        <w:t xml:space="preserve">End of memorandum</w:t>
      </w:r>
    </w:p>
    <w:p>
      <w:pPr>
        <w:spacing w:line="240" w:lineRule="auto"/>
      </w:pPr>
      <w:r>
        <w:rPr>
          <w:color w:val="5E6650"/>
          <w:sz w:val="16"/>
        </w:rPr>
        <w:t xml:space="preserve">This Confidential Private Placement Memorandum has been prepared solely for the use of the recipient in connection with a proposed investment. Its contents are proprietary and confidential and may not be reproduced or distributed in whole or in part without the prior written consent of the issuer. This document does not constitute an offer to sell or a solicitation to buy any securities and is intended to be used only in conjunction with applicable subscription documents and in compliance with federal and state securities laws. Prospective investors should consult with their own legal, tax, and financial advisors before making any investment decision.</w:t>
      </w:r>
    </w:p>
    <w:sectPr>
      <w:pgSz w:w="12240" w:h="15840" w:orient="portrait"/>
      <w:pgMar w:top="1440" w:right="1440" w:bottom="1584" w:left="1440" w:header="708" w:footer="708" w:gutter="0"/>
      <w:headerReference r:id="rId6" w:type="default"/>
      <w:footerReference r:id="rId7" w:type="default"/>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mp;#x27"/>
</w:fonts>
</file>

<file path=word/footer1.xml><?xml version="1.0" encoding="utf-8"?>
<ftr xmlns="http://schemas.openxmlformats.org/wordprocessingml/2006/main">
  <p>
    <pPr>
      <jc xmlns:ns1="http://schemas.openxmlformats.org/wordprocessingml/2006/main" ns1:val="center"/>
      <spacing xmlns:ns2="http://schemas.openxmlformats.org/wordprocessingml/2006/main" ns2:lineRule="auto"/>
    </pPr>
    <r>
      <rPr>
        <rFonts xmlns:ns3="http://schemas.openxmlformats.org/wordprocessingml/2006/main" ns3:ascii="Calibri" ns3:hAnsi="Calibri"/>
        <color xmlns:ns4="http://schemas.openxmlformats.org/wordprocessingml/2006/main" ns4:val="6b7280"/>
        <sz xmlns:ns5="http://schemas.openxmlformats.org/wordprocessingml/2006/main" ns5:val="16"/>
      </rPr>
      <t xml:space="preserve">NeuralStack Series B Investment SPV (Fictional Sample) · Confidential · Page </t>
    </r>
    <fldSimple xmlns:ns6="http://schemas.openxmlformats.org/wordprocessingml/2006/main" ns6:instr="PAGE">
      <r/>
    </fldSimple>
  </p>
</ftr>
</file>

<file path=word/header1.xml><?xml version="1.0" encoding="utf-8"?>
<hdr xmlns="http://schemas.openxmlformats.org/wordprocessingml/2006/main">
  <p>
    <pPr>
      <jc xmlns:ns1="http://schemas.openxmlformats.org/wordprocessingml/2006/main" ns1:val="right"/>
      <spacing xmlns:ns2="http://schemas.openxmlformats.org/wordprocessingml/2006/main" ns2:lineRule="auto"/>
    </pPr>
    <r>
      <rPr>
        <rFonts xmlns:ns3="http://schemas.openxmlformats.org/wordprocessingml/2006/main" ns3:ascii="Calibri" ns3:hAnsi="Calibri"/>
        <color xmlns:ns4="http://schemas.openxmlformats.org/wordprocessingml/2006/main" ns4:val="6b7280"/>
        <sz xmlns:ns5="http://schemas.openxmlformats.org/wordprocessingml/2006/main" ns5:val="16"/>
      </rPr>
      <t xml:space="preserve">NeuralStack Series B Investment SPV (Fictional Sample) · Private Placement Memorandum · Draft for counsel review</t>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320" w:after="160"/>
      <w:outlineLvl w:val="0"/>
    </w:pPr>
    <w:rPr>
      <w:rFonts w:ascii="Calibri" w:eastAsiaTheme="minorHAnsi" w:hAnsiTheme="minorHAnsi" w:cstheme="minorBidi"/>
      <w:b/>
      <w:sz w:val="32"/>
      <w:szCs w:val="32"/>
    </w:rPr>
  </w:style>
  <w:style w:type="paragraph" w:styleId="Heading2">
    <w:name w:val="heading 2"/>
    <w:basedOn w:val="Normal"/>
    <w:next w:val="Normal"/>
    <w:uiPriority w:val="9"/>
    <w:unhideWhenUsed/>
    <w:qFormat/>
    <w:pPr>
      <w:keepNext/>
      <w:keepLines/>
      <w:spacing w:before="240" w:after="120"/>
      <w:outlineLvl w:val="1"/>
    </w:pPr>
    <w:rPr>
      <w:rFonts w:ascii="Calibri" w:eastAsiaTheme="minorHAnsi" w:hAnsiTheme="minorHAnsi" w:cstheme="minorBidi"/>
      <w:b/>
      <w:sz w:val="26"/>
      <w:szCs w:val="26"/>
    </w:rPr>
  </w:style>
  <w:style w:type="paragraph" w:styleId="Heading3">
    <w:name w:val="heading 3"/>
    <w:basedOn w:val="Normal"/>
    <w:next w:val="Normal"/>
    <w:uiPriority w:val="9"/>
    <w:semiHidden/>
    <w:unhideWhenUsed/>
    <w:qFormat/>
    <w:pPr>
      <w:keepNext/>
      <w:keepLines/>
      <w:spacing w:before="160" w:after="80"/>
      <w:outlineLvl w:val="2"/>
    </w:pPr>
    <w:rPr>
      <w:rFonts w:ascii="Calibri" w:eastAsiaTheme="minorHAnsi" w:hAnsiTheme="minorHAnsi" w:cstheme="minorBidi"/>
      <w:b/>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NeuralStack Series B Investment SPV (Fictional Sample)</dc:title>
  <dc:subject>Editable private placement memorandum for attorney review</dc:subject>
  <dc:creator>PPMWizard</dc:creator>
  <cp:keywords>private placement memorandum, PPM, attorney review</cp:keywords>
  <dc:description>Editable PPM draft generated by PPMWizard for review by qualified securities counsel.</dc:description>
  <cp:lastModifiedBy>PPMWizard</cp:lastModifiedBy>
  <cp:revision>1</cp:revision>
  <dcterms:created xsi:type="dcterms:W3CDTF">2026-10-21T01:42:29.163Z</dcterms:created>
  <dcterms:modified xsi:type="dcterms:W3CDTF">2026-10-21T01:42:29.163Z</dcterms:modified>
</cp:coreProperties>
</file>